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997ADA">
      <w:pPr>
        <w:pStyle w:val="4"/>
        <w:spacing w:before="0" w:after="0" w:line="360" w:lineRule="auto"/>
        <w:jc w:val="center"/>
        <w:rPr>
          <w:rFonts w:hint="eastAsia" w:ascii="宋体" w:hAnsi="宋体" w:eastAsia="宋体" w:cs="宋体"/>
        </w:rPr>
      </w:pPr>
      <w:r>
        <w:rPr>
          <w:rFonts w:hint="eastAsia" w:ascii="宋体" w:hAnsi="宋体" w:eastAsia="宋体" w:cs="宋体"/>
          <w:color w:val="000000" w:themeColor="text1"/>
          <w:sz w:val="36"/>
          <w:szCs w:val="36"/>
          <w:lang w:val="en-US" w:eastAsia="zh-CN"/>
          <w14:textFill>
            <w14:solidFill>
              <w14:schemeClr w14:val="tx1"/>
            </w14:solidFill>
          </w14:textFill>
        </w:rPr>
        <w:t>充电桩</w:t>
      </w:r>
      <w:r>
        <w:rPr>
          <w:rFonts w:hint="eastAsia" w:ascii="宋体" w:hAnsi="宋体" w:eastAsia="宋体" w:cs="宋体"/>
          <w:color w:val="000000" w:themeColor="text1"/>
          <w:sz w:val="36"/>
          <w:szCs w:val="36"/>
          <w14:textFill>
            <w14:solidFill>
              <w14:schemeClr w14:val="tx1"/>
            </w14:solidFill>
          </w14:textFill>
        </w:rPr>
        <w:t>招标技术需求</w:t>
      </w:r>
    </w:p>
    <w:p w14:paraId="30181952">
      <w:pPr>
        <w:pStyle w:val="4"/>
        <w:spacing w:before="0" w:after="0"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rPr>
        <w:t>1、</w:t>
      </w:r>
      <w:r>
        <w:rPr>
          <w:rFonts w:hint="eastAsia" w:ascii="宋体" w:hAnsi="宋体" w:eastAsia="宋体" w:cs="宋体"/>
        </w:rPr>
        <w:t>总则</w:t>
      </w:r>
    </w:p>
    <w:p w14:paraId="7D73FF14">
      <w:pPr>
        <w:pStyle w:val="9"/>
        <w:spacing w:before="0" w:after="0" w:line="360" w:lineRule="auto"/>
        <w:rPr>
          <w:rFonts w:hint="eastAsia" w:ascii="宋体" w:hAnsi="宋体" w:eastAsia="宋体" w:cs="宋体"/>
        </w:rPr>
      </w:pPr>
      <w:r>
        <w:rPr>
          <w:rFonts w:hint="eastAsia" w:ascii="宋体" w:hAnsi="宋体" w:eastAsia="宋体" w:cs="宋体"/>
        </w:rPr>
        <w:t>1.1一般规定</w:t>
      </w:r>
    </w:p>
    <w:p w14:paraId="76A3B411">
      <w:pPr>
        <w:overflowPunct w:val="0"/>
        <w:topLinePunct/>
        <w:spacing w:line="360" w:lineRule="auto"/>
        <w:ind w:firstLine="480" w:firstLineChars="200"/>
        <w:rPr>
          <w:rFonts w:hint="eastAsia" w:ascii="宋体" w:hAnsi="宋体" w:eastAsia="宋体" w:cs="宋体"/>
          <w:sz w:val="24"/>
          <w:szCs w:val="24"/>
        </w:rPr>
      </w:pPr>
      <w:r>
        <w:rPr>
          <w:rStyle w:val="314"/>
          <w:rFonts w:hint="eastAsia" w:ascii="宋体" w:hAnsi="宋体" w:eastAsia="宋体" w:cs="宋体"/>
          <w:sz w:val="24"/>
          <w:szCs w:val="24"/>
        </w:rPr>
        <w:t>1.1.1</w:t>
      </w:r>
      <w:r>
        <w:rPr>
          <w:rFonts w:hint="eastAsia" w:ascii="宋体" w:hAnsi="宋体" w:eastAsia="宋体" w:cs="宋体"/>
          <w:sz w:val="24"/>
          <w:szCs w:val="24"/>
        </w:rPr>
        <w:t>投标方应具备招标公告所要求的资质。</w:t>
      </w:r>
    </w:p>
    <w:p w14:paraId="7EBFE562">
      <w:pPr>
        <w:overflowPunct w:val="0"/>
        <w:topLinePunct/>
        <w:spacing w:line="360" w:lineRule="auto"/>
        <w:ind w:firstLine="480" w:firstLineChars="200"/>
        <w:rPr>
          <w:rFonts w:hint="eastAsia" w:ascii="宋体" w:hAnsi="宋体" w:eastAsia="宋体" w:cs="宋体"/>
          <w:sz w:val="24"/>
          <w:szCs w:val="24"/>
        </w:rPr>
      </w:pPr>
      <w:r>
        <w:rPr>
          <w:rStyle w:val="314"/>
          <w:rFonts w:hint="eastAsia" w:ascii="宋体" w:hAnsi="宋体" w:eastAsia="宋体" w:cs="宋体"/>
          <w:sz w:val="24"/>
          <w:szCs w:val="24"/>
        </w:rPr>
        <w:t>1.1.</w:t>
      </w:r>
      <w:r>
        <w:rPr>
          <w:rStyle w:val="314"/>
          <w:rFonts w:hint="eastAsia" w:ascii="宋体" w:hAnsi="宋体" w:eastAsia="宋体" w:cs="宋体"/>
          <w:sz w:val="24"/>
          <w:szCs w:val="24"/>
        </w:rPr>
        <w:t>2</w:t>
      </w:r>
      <w:r>
        <w:rPr>
          <w:rFonts w:hint="eastAsia" w:ascii="宋体" w:hAnsi="宋体" w:eastAsia="宋体" w:cs="宋体"/>
          <w:sz w:val="24"/>
          <w:szCs w:val="24"/>
        </w:rPr>
        <w:t>本规范</w:t>
      </w:r>
      <w:r>
        <w:rPr>
          <w:rFonts w:hint="eastAsia" w:ascii="宋体" w:hAnsi="宋体" w:eastAsia="宋体" w:cs="宋体"/>
          <w:sz w:val="24"/>
          <w:szCs w:val="24"/>
        </w:rPr>
        <w:t>提出了对设备的技术参数、性能、试验等方面的技术要求。</w:t>
      </w:r>
    </w:p>
    <w:p w14:paraId="6A4B1489">
      <w:pPr>
        <w:overflowPunct w:val="0"/>
        <w:topLinePunct/>
        <w:spacing w:line="360" w:lineRule="auto"/>
        <w:ind w:firstLine="480" w:firstLineChars="200"/>
        <w:rPr>
          <w:rFonts w:hint="eastAsia" w:ascii="宋体" w:hAnsi="宋体" w:eastAsia="宋体" w:cs="宋体"/>
          <w:sz w:val="24"/>
          <w:szCs w:val="24"/>
        </w:rPr>
      </w:pPr>
      <w:r>
        <w:rPr>
          <w:rStyle w:val="314"/>
          <w:rFonts w:hint="eastAsia" w:ascii="宋体" w:hAnsi="宋体" w:eastAsia="宋体" w:cs="宋体"/>
          <w:sz w:val="24"/>
          <w:szCs w:val="24"/>
        </w:rPr>
        <w:t>1.1.3</w:t>
      </w:r>
      <w:r>
        <w:rPr>
          <w:rFonts w:hint="eastAsia" w:ascii="宋体" w:hAnsi="宋体" w:eastAsia="宋体" w:cs="宋体"/>
          <w:sz w:val="24"/>
          <w:szCs w:val="24"/>
        </w:rPr>
        <w:t>本规范</w:t>
      </w:r>
      <w:r>
        <w:rPr>
          <w:rFonts w:hint="eastAsia" w:ascii="宋体" w:hAnsi="宋体" w:eastAsia="宋体" w:cs="宋体"/>
          <w:sz w:val="24"/>
          <w:szCs w:val="24"/>
        </w:rPr>
        <w:t>提出的是最低限度的技术要求，并未对一切技术细节</w:t>
      </w:r>
      <w:r>
        <w:rPr>
          <w:rFonts w:hint="eastAsia" w:ascii="宋体" w:hAnsi="宋体" w:eastAsia="宋体" w:cs="宋体"/>
          <w:sz w:val="24"/>
          <w:szCs w:val="24"/>
        </w:rPr>
        <w:t>作</w:t>
      </w:r>
      <w:r>
        <w:rPr>
          <w:rFonts w:hint="eastAsia" w:ascii="宋体" w:hAnsi="宋体" w:eastAsia="宋体" w:cs="宋体"/>
          <w:sz w:val="24"/>
          <w:szCs w:val="24"/>
        </w:rPr>
        <w:t>出规定，也未充分引述有关标准和规范的条文，投标方应提供符合</w:t>
      </w:r>
      <w:r>
        <w:rPr>
          <w:rFonts w:hint="eastAsia" w:ascii="宋体" w:hAnsi="宋体" w:eastAsia="宋体" w:cs="宋体"/>
          <w:sz w:val="24"/>
          <w:szCs w:val="24"/>
        </w:rPr>
        <w:t>本规范</w:t>
      </w:r>
      <w:r>
        <w:rPr>
          <w:rFonts w:hint="eastAsia" w:ascii="宋体" w:hAnsi="宋体" w:eastAsia="宋体" w:cs="宋体"/>
          <w:sz w:val="24"/>
          <w:szCs w:val="24"/>
        </w:rPr>
        <w:t>引用标准的最新版本标准和</w:t>
      </w:r>
      <w:r>
        <w:rPr>
          <w:rFonts w:hint="eastAsia" w:ascii="宋体" w:hAnsi="宋体" w:eastAsia="宋体" w:cs="宋体"/>
          <w:sz w:val="24"/>
          <w:szCs w:val="24"/>
        </w:rPr>
        <w:t>本规范</w:t>
      </w:r>
      <w:r>
        <w:rPr>
          <w:rFonts w:hint="eastAsia" w:ascii="宋体" w:hAnsi="宋体" w:eastAsia="宋体" w:cs="宋体"/>
          <w:sz w:val="24"/>
          <w:szCs w:val="24"/>
        </w:rPr>
        <w:t>技术要求的全新产品，如果所引用的标准之间不一致或</w:t>
      </w:r>
      <w:r>
        <w:rPr>
          <w:rFonts w:hint="eastAsia" w:ascii="宋体" w:hAnsi="宋体" w:eastAsia="宋体" w:cs="宋体"/>
          <w:sz w:val="24"/>
          <w:szCs w:val="24"/>
        </w:rPr>
        <w:t>本规范</w:t>
      </w:r>
      <w:r>
        <w:rPr>
          <w:rFonts w:hint="eastAsia" w:ascii="宋体" w:hAnsi="宋体" w:eastAsia="宋体" w:cs="宋体"/>
          <w:sz w:val="24"/>
          <w:szCs w:val="24"/>
        </w:rPr>
        <w:t>的要求如与投标方所执行的标准不一致时，按要求较高的指标执行。</w:t>
      </w:r>
    </w:p>
    <w:p w14:paraId="3B608E32">
      <w:pPr>
        <w:overflowPunct w:val="0"/>
        <w:topLinePunct/>
        <w:spacing w:line="360" w:lineRule="auto"/>
        <w:ind w:firstLine="480" w:firstLineChars="200"/>
        <w:rPr>
          <w:rFonts w:hint="eastAsia" w:ascii="宋体" w:hAnsi="宋体" w:eastAsia="宋体" w:cs="宋体"/>
          <w:sz w:val="24"/>
          <w:szCs w:val="24"/>
        </w:rPr>
      </w:pPr>
      <w:r>
        <w:rPr>
          <w:rStyle w:val="314"/>
          <w:rFonts w:hint="eastAsia" w:ascii="宋体" w:hAnsi="宋体" w:eastAsia="宋体" w:cs="宋体"/>
          <w:sz w:val="24"/>
          <w:szCs w:val="24"/>
        </w:rPr>
        <w:t>1.1.</w:t>
      </w:r>
      <w:r>
        <w:rPr>
          <w:rStyle w:val="314"/>
          <w:rFonts w:hint="eastAsia" w:ascii="宋体" w:hAnsi="宋体" w:eastAsia="宋体" w:cs="宋体"/>
          <w:sz w:val="24"/>
          <w:szCs w:val="24"/>
        </w:rPr>
        <w:t>4</w:t>
      </w:r>
      <w:r>
        <w:rPr>
          <w:rFonts w:hint="eastAsia" w:ascii="宋体" w:hAnsi="宋体" w:eastAsia="宋体" w:cs="宋体"/>
          <w:sz w:val="24"/>
          <w:szCs w:val="24"/>
        </w:rPr>
        <w:t>本规范</w:t>
      </w:r>
      <w:r>
        <w:rPr>
          <w:rFonts w:hint="eastAsia" w:ascii="宋体" w:hAnsi="宋体" w:eastAsia="宋体" w:cs="宋体"/>
          <w:sz w:val="24"/>
          <w:szCs w:val="24"/>
        </w:rPr>
        <w:t>将作为订货合同的附件，与合同具有同等的法律效力。</w:t>
      </w:r>
      <w:r>
        <w:rPr>
          <w:rFonts w:hint="eastAsia" w:ascii="宋体" w:hAnsi="宋体" w:eastAsia="宋体" w:cs="宋体"/>
          <w:sz w:val="24"/>
          <w:szCs w:val="24"/>
        </w:rPr>
        <w:t>本规范</w:t>
      </w:r>
      <w:r>
        <w:rPr>
          <w:rFonts w:hint="eastAsia" w:ascii="宋体" w:hAnsi="宋体" w:eastAsia="宋体" w:cs="宋体"/>
          <w:sz w:val="24"/>
          <w:szCs w:val="24"/>
        </w:rPr>
        <w:t>未尽事宜，由合同签约双方在合同谈判时协商确定。</w:t>
      </w:r>
    </w:p>
    <w:p w14:paraId="548886A7">
      <w:pPr>
        <w:pStyle w:val="9"/>
        <w:spacing w:before="0" w:after="0" w:line="360" w:lineRule="auto"/>
        <w:rPr>
          <w:rFonts w:hint="eastAsia" w:ascii="宋体" w:hAnsi="宋体" w:eastAsia="宋体" w:cs="宋体"/>
        </w:rPr>
      </w:pPr>
      <w:r>
        <w:rPr>
          <w:rFonts w:hint="eastAsia" w:ascii="宋体" w:hAnsi="宋体" w:eastAsia="宋体" w:cs="宋体"/>
        </w:rPr>
        <w:t>1.2工作范围和进度要求</w:t>
      </w:r>
    </w:p>
    <w:p w14:paraId="190EF98F">
      <w:pPr>
        <w:overflowPunct w:val="0"/>
        <w:topLinePunct/>
        <w:spacing w:line="360" w:lineRule="auto"/>
        <w:ind w:firstLine="480" w:firstLineChars="200"/>
        <w:rPr>
          <w:rFonts w:hint="eastAsia" w:ascii="宋体" w:hAnsi="宋体" w:eastAsia="宋体" w:cs="宋体"/>
          <w:sz w:val="24"/>
          <w:szCs w:val="24"/>
        </w:rPr>
      </w:pPr>
      <w:r>
        <w:rPr>
          <w:rStyle w:val="314"/>
          <w:rFonts w:hint="eastAsia" w:ascii="宋体" w:hAnsi="宋体" w:eastAsia="宋体" w:cs="宋体"/>
          <w:sz w:val="24"/>
          <w:szCs w:val="24"/>
        </w:rPr>
        <w:t>1.2.1</w:t>
      </w:r>
      <w:r>
        <w:rPr>
          <w:rFonts w:hint="eastAsia" w:ascii="宋体" w:hAnsi="宋体" w:eastAsia="宋体" w:cs="宋体"/>
          <w:sz w:val="24"/>
          <w:szCs w:val="24"/>
        </w:rPr>
        <w:t>本规范</w:t>
      </w:r>
      <w:r>
        <w:rPr>
          <w:rFonts w:hint="eastAsia" w:ascii="宋体" w:hAnsi="宋体" w:eastAsia="宋体" w:cs="宋体"/>
          <w:sz w:val="24"/>
          <w:szCs w:val="24"/>
        </w:rPr>
        <w:t>仅适用于所列的</w:t>
      </w:r>
      <w:r>
        <w:rPr>
          <w:rFonts w:hint="eastAsia" w:ascii="宋体" w:hAnsi="宋体" w:eastAsia="宋体" w:cs="宋体"/>
          <w:sz w:val="24"/>
          <w:szCs w:val="24"/>
        </w:rPr>
        <w:t>新能源汽车充电</w:t>
      </w:r>
      <w:r>
        <w:rPr>
          <w:rFonts w:hint="eastAsia" w:ascii="宋体" w:hAnsi="宋体" w:eastAsia="宋体" w:cs="宋体"/>
          <w:sz w:val="24"/>
          <w:szCs w:val="24"/>
        </w:rPr>
        <w:t>设备。</w:t>
      </w:r>
    </w:p>
    <w:p w14:paraId="05C1B083">
      <w:pPr>
        <w:overflowPunct w:val="0"/>
        <w:topLinePunct/>
        <w:spacing w:line="360" w:lineRule="auto"/>
        <w:ind w:firstLine="480" w:firstLineChars="200"/>
        <w:rPr>
          <w:rFonts w:hint="eastAsia" w:ascii="宋体" w:hAnsi="宋体" w:eastAsia="宋体" w:cs="宋体"/>
          <w:spacing w:val="2"/>
          <w:sz w:val="24"/>
          <w:szCs w:val="24"/>
        </w:rPr>
      </w:pPr>
      <w:r>
        <w:rPr>
          <w:rStyle w:val="314"/>
          <w:rFonts w:hint="eastAsia" w:ascii="宋体" w:hAnsi="宋体" w:eastAsia="宋体" w:cs="宋体"/>
          <w:sz w:val="24"/>
          <w:szCs w:val="24"/>
        </w:rPr>
        <w:t>1.2.</w:t>
      </w:r>
      <w:r>
        <w:rPr>
          <w:rStyle w:val="314"/>
          <w:rFonts w:hint="eastAsia" w:ascii="宋体" w:hAnsi="宋体" w:eastAsia="宋体" w:cs="宋体"/>
          <w:sz w:val="24"/>
          <w:szCs w:val="24"/>
        </w:rPr>
        <w:t>2</w:t>
      </w:r>
      <w:r>
        <w:rPr>
          <w:rFonts w:hint="eastAsia" w:ascii="宋体" w:hAnsi="宋体" w:eastAsia="宋体" w:cs="宋体"/>
          <w:spacing w:val="2"/>
          <w:sz w:val="24"/>
          <w:szCs w:val="24"/>
        </w:rPr>
        <w:t>如生产进度有延误，投标方应及时将延误的原因、产生的影响及准备采取的补救措施等向招标方加以解释，并尽可能保证交货的进度。否则应及时向招标方通报，以便招标方能采取必要的应对延迟交货的措施。</w:t>
      </w:r>
    </w:p>
    <w:p w14:paraId="40A8959A">
      <w:pPr>
        <w:pStyle w:val="9"/>
        <w:spacing w:before="0" w:after="0" w:line="360" w:lineRule="auto"/>
        <w:rPr>
          <w:rFonts w:hint="eastAsia" w:ascii="宋体" w:hAnsi="宋体" w:eastAsia="宋体" w:cs="宋体"/>
        </w:rPr>
      </w:pPr>
      <w:r>
        <w:rPr>
          <w:rFonts w:hint="eastAsia" w:ascii="宋体" w:hAnsi="宋体" w:eastAsia="宋体" w:cs="宋体"/>
        </w:rPr>
        <w:t>1.3</w:t>
      </w:r>
      <w:r>
        <w:rPr>
          <w:rFonts w:hint="eastAsia" w:ascii="宋体" w:hAnsi="宋体" w:eastAsia="宋体" w:cs="宋体"/>
        </w:rPr>
        <w:t>产品选型要求</w:t>
      </w:r>
    </w:p>
    <w:p w14:paraId="025EEDF1">
      <w:pPr>
        <w:overflowPunct w:val="0"/>
        <w:topLinePunct/>
        <w:spacing w:line="360" w:lineRule="auto"/>
        <w:ind w:firstLine="488" w:firstLineChars="200"/>
        <w:rPr>
          <w:rFonts w:hint="eastAsia" w:ascii="宋体" w:hAnsi="宋体" w:eastAsia="宋体" w:cs="宋体"/>
          <w:spacing w:val="2"/>
          <w:sz w:val="24"/>
          <w:szCs w:val="24"/>
        </w:rPr>
      </w:pPr>
      <w:r>
        <w:rPr>
          <w:rFonts w:hint="eastAsia" w:ascii="宋体" w:hAnsi="宋体" w:eastAsia="宋体" w:cs="宋体"/>
          <w:spacing w:val="2"/>
          <w:sz w:val="24"/>
          <w:szCs w:val="24"/>
        </w:rPr>
        <w:t>1</w:t>
      </w:r>
      <w:r>
        <w:rPr>
          <w:rFonts w:hint="eastAsia" w:ascii="宋体" w:hAnsi="宋体" w:eastAsia="宋体" w:cs="宋体"/>
          <w:spacing w:val="2"/>
          <w:sz w:val="24"/>
          <w:szCs w:val="24"/>
        </w:rPr>
        <w:t>.3.1</w:t>
      </w:r>
      <w:r>
        <w:rPr>
          <w:rFonts w:hint="eastAsia" w:ascii="宋体" w:hAnsi="宋体" w:eastAsia="宋体" w:cs="宋体"/>
          <w:spacing w:val="2"/>
          <w:sz w:val="24"/>
          <w:szCs w:val="24"/>
        </w:rPr>
        <w:t>交流充电桩选型要求：</w:t>
      </w:r>
    </w:p>
    <w:tbl>
      <w:tblPr>
        <w:tblStyle w:val="38"/>
        <w:tblW w:w="9489" w:type="dxa"/>
        <w:jc w:val="center"/>
        <w:tblLayout w:type="autofit"/>
        <w:tblCellMar>
          <w:top w:w="0" w:type="dxa"/>
          <w:left w:w="0" w:type="dxa"/>
          <w:bottom w:w="0" w:type="dxa"/>
          <w:right w:w="0" w:type="dxa"/>
        </w:tblCellMar>
      </w:tblPr>
      <w:tblGrid>
        <w:gridCol w:w="1948"/>
        <w:gridCol w:w="4316"/>
        <w:gridCol w:w="3225"/>
      </w:tblGrid>
      <w:tr w14:paraId="7000EC45">
        <w:trPr>
          <w:trHeight w:val="423" w:hRule="atLeast"/>
          <w:jc w:val="center"/>
        </w:trPr>
        <w:tc>
          <w:tcPr>
            <w:tcW w:w="1948" w:type="dxa"/>
            <w:vMerge w:val="restart"/>
            <w:tcBorders>
              <w:top w:val="single" w:color="000000" w:sz="8" w:space="0"/>
              <w:left w:val="single" w:color="000000" w:sz="8" w:space="0"/>
              <w:bottom w:val="single" w:color="000000" w:sz="8" w:space="0"/>
              <w:right w:val="single" w:color="000000" w:sz="8" w:space="0"/>
            </w:tcBorders>
            <w:shd w:val="clear" w:color="auto" w:fill="auto"/>
            <w:tcMar>
              <w:top w:w="45" w:type="dxa"/>
              <w:left w:w="90" w:type="dxa"/>
              <w:bottom w:w="45" w:type="dxa"/>
              <w:right w:w="90" w:type="dxa"/>
            </w:tcMar>
            <w:vAlign w:val="center"/>
          </w:tcPr>
          <w:p w14:paraId="1BBA72DB">
            <w:pPr>
              <w:widowControl/>
              <w:spacing w:line="360" w:lineRule="auto"/>
              <w:jc w:val="center"/>
              <w:textAlignment w:val="baseline"/>
              <w:rPr>
                <w:rFonts w:hint="eastAsia" w:ascii="宋体" w:hAnsi="宋体" w:eastAsia="宋体" w:cs="宋体"/>
                <w:b/>
                <w:kern w:val="0"/>
                <w:sz w:val="24"/>
                <w:szCs w:val="24"/>
              </w:rPr>
            </w:pPr>
            <w:r>
              <w:rPr>
                <w:rFonts w:hint="eastAsia" w:ascii="宋体" w:hAnsi="宋体" w:eastAsia="宋体" w:cs="宋体"/>
                <w:b/>
                <w:bCs/>
                <w:kern w:val="24"/>
                <w:sz w:val="24"/>
                <w:szCs w:val="24"/>
              </w:rPr>
              <w:t>充电桩型号</w:t>
            </w:r>
          </w:p>
        </w:tc>
        <w:tc>
          <w:tcPr>
            <w:tcW w:w="7541" w:type="dxa"/>
            <w:gridSpan w:val="2"/>
            <w:tcBorders>
              <w:top w:val="single" w:color="000000" w:sz="8" w:space="0"/>
              <w:left w:val="single" w:color="000000" w:sz="8" w:space="0"/>
              <w:bottom w:val="single" w:color="000000" w:sz="8" w:space="0"/>
              <w:right w:val="single" w:color="000000" w:sz="8" w:space="0"/>
            </w:tcBorders>
            <w:shd w:val="clear" w:color="auto" w:fill="auto"/>
            <w:tcMar>
              <w:top w:w="45" w:type="dxa"/>
              <w:left w:w="90" w:type="dxa"/>
              <w:bottom w:w="45" w:type="dxa"/>
              <w:right w:w="90" w:type="dxa"/>
            </w:tcMar>
            <w:vAlign w:val="center"/>
          </w:tcPr>
          <w:p w14:paraId="20FC4283">
            <w:pPr>
              <w:widowControl/>
              <w:spacing w:line="360" w:lineRule="auto"/>
              <w:jc w:val="center"/>
              <w:textAlignment w:val="baseline"/>
              <w:rPr>
                <w:rFonts w:hint="eastAsia" w:ascii="宋体" w:hAnsi="宋体" w:eastAsia="宋体" w:cs="宋体"/>
                <w:b/>
                <w:kern w:val="0"/>
                <w:sz w:val="24"/>
                <w:szCs w:val="24"/>
              </w:rPr>
            </w:pPr>
            <w:r>
              <w:rPr>
                <w:rFonts w:hint="eastAsia" w:ascii="宋体" w:hAnsi="宋体" w:eastAsia="宋体" w:cs="宋体"/>
                <w:b/>
                <w:bCs/>
                <w:kern w:val="24"/>
                <w:sz w:val="24"/>
                <w:szCs w:val="24"/>
              </w:rPr>
              <w:t>配置情况</w:t>
            </w:r>
          </w:p>
        </w:tc>
      </w:tr>
      <w:tr w14:paraId="0E7246EE">
        <w:tblPrEx>
          <w:tblCellMar>
            <w:top w:w="0" w:type="dxa"/>
            <w:left w:w="0" w:type="dxa"/>
            <w:bottom w:w="0" w:type="dxa"/>
            <w:right w:w="0" w:type="dxa"/>
          </w:tblCellMar>
        </w:tblPrEx>
        <w:trPr>
          <w:trHeight w:val="423" w:hRule="atLeast"/>
          <w:jc w:val="center"/>
        </w:trPr>
        <w:tc>
          <w:tcPr>
            <w:tcW w:w="194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ED53361">
            <w:pPr>
              <w:widowControl/>
              <w:spacing w:line="360" w:lineRule="auto"/>
              <w:jc w:val="left"/>
              <w:rPr>
                <w:rFonts w:hint="eastAsia" w:ascii="宋体" w:hAnsi="宋体" w:eastAsia="宋体" w:cs="宋体"/>
                <w:b/>
                <w:kern w:val="0"/>
                <w:sz w:val="24"/>
                <w:szCs w:val="24"/>
              </w:rPr>
            </w:pPr>
          </w:p>
        </w:tc>
        <w:tc>
          <w:tcPr>
            <w:tcW w:w="4316" w:type="dxa"/>
            <w:tcBorders>
              <w:top w:val="single" w:color="000000" w:sz="8" w:space="0"/>
              <w:left w:val="single" w:color="000000" w:sz="8" w:space="0"/>
              <w:bottom w:val="single" w:color="000000" w:sz="8" w:space="0"/>
              <w:right w:val="single" w:color="000000" w:sz="8" w:space="0"/>
            </w:tcBorders>
            <w:shd w:val="clear" w:color="auto" w:fill="auto"/>
            <w:tcMar>
              <w:top w:w="45" w:type="dxa"/>
              <w:left w:w="90" w:type="dxa"/>
              <w:bottom w:w="45" w:type="dxa"/>
              <w:right w:w="90" w:type="dxa"/>
            </w:tcMar>
            <w:vAlign w:val="center"/>
          </w:tcPr>
          <w:p w14:paraId="03AB61D2">
            <w:pPr>
              <w:widowControl/>
              <w:spacing w:line="360" w:lineRule="auto"/>
              <w:jc w:val="center"/>
              <w:textAlignment w:val="baseline"/>
              <w:rPr>
                <w:rFonts w:hint="eastAsia" w:ascii="宋体" w:hAnsi="宋体" w:eastAsia="宋体" w:cs="宋体"/>
                <w:b/>
                <w:kern w:val="0"/>
                <w:sz w:val="24"/>
                <w:szCs w:val="24"/>
              </w:rPr>
            </w:pPr>
            <w:r>
              <w:rPr>
                <w:rFonts w:hint="eastAsia" w:ascii="宋体" w:hAnsi="宋体" w:eastAsia="宋体" w:cs="宋体"/>
                <w:b/>
                <w:kern w:val="24"/>
                <w:sz w:val="24"/>
                <w:szCs w:val="24"/>
              </w:rPr>
              <w:t>标配</w:t>
            </w:r>
          </w:p>
        </w:tc>
        <w:tc>
          <w:tcPr>
            <w:tcW w:w="3225" w:type="dxa"/>
            <w:tcBorders>
              <w:top w:val="single" w:color="000000" w:sz="8" w:space="0"/>
              <w:left w:val="single" w:color="000000" w:sz="8" w:space="0"/>
              <w:bottom w:val="single" w:color="000000" w:sz="8" w:space="0"/>
              <w:right w:val="single" w:color="000000" w:sz="8" w:space="0"/>
            </w:tcBorders>
            <w:shd w:val="clear" w:color="auto" w:fill="auto"/>
            <w:tcMar>
              <w:top w:w="45" w:type="dxa"/>
              <w:left w:w="90" w:type="dxa"/>
              <w:bottom w:w="45" w:type="dxa"/>
              <w:right w:w="90" w:type="dxa"/>
            </w:tcMar>
            <w:vAlign w:val="center"/>
          </w:tcPr>
          <w:p w14:paraId="5D54CB1D">
            <w:pPr>
              <w:widowControl/>
              <w:spacing w:line="360" w:lineRule="auto"/>
              <w:jc w:val="center"/>
              <w:textAlignment w:val="baseline"/>
              <w:rPr>
                <w:rFonts w:hint="eastAsia" w:ascii="宋体" w:hAnsi="宋体" w:eastAsia="宋体" w:cs="宋体"/>
                <w:b/>
                <w:kern w:val="0"/>
                <w:sz w:val="24"/>
                <w:szCs w:val="24"/>
              </w:rPr>
            </w:pPr>
            <w:r>
              <w:rPr>
                <w:rFonts w:hint="eastAsia" w:ascii="宋体" w:hAnsi="宋体" w:eastAsia="宋体" w:cs="宋体"/>
                <w:b/>
                <w:kern w:val="0"/>
                <w:sz w:val="24"/>
                <w:szCs w:val="24"/>
              </w:rPr>
              <w:t>型号要求</w:t>
            </w:r>
          </w:p>
        </w:tc>
      </w:tr>
      <w:tr w14:paraId="514C5925">
        <w:tblPrEx>
          <w:tblCellMar>
            <w:top w:w="0" w:type="dxa"/>
            <w:left w:w="0" w:type="dxa"/>
            <w:bottom w:w="0" w:type="dxa"/>
            <w:right w:w="0" w:type="dxa"/>
          </w:tblCellMar>
        </w:tblPrEx>
        <w:trPr>
          <w:trHeight w:val="961" w:hRule="atLeast"/>
          <w:jc w:val="center"/>
        </w:trPr>
        <w:tc>
          <w:tcPr>
            <w:tcW w:w="1948" w:type="dxa"/>
            <w:tcBorders>
              <w:top w:val="single" w:color="000000" w:sz="8" w:space="0"/>
              <w:left w:val="single" w:color="000000" w:sz="8" w:space="0"/>
              <w:bottom w:val="single" w:color="000000" w:sz="8" w:space="0"/>
              <w:right w:val="single" w:color="000000" w:sz="8" w:space="0"/>
            </w:tcBorders>
            <w:shd w:val="clear" w:color="auto" w:fill="auto"/>
            <w:tcMar>
              <w:top w:w="45" w:type="dxa"/>
              <w:left w:w="90" w:type="dxa"/>
              <w:bottom w:w="45" w:type="dxa"/>
              <w:right w:w="90" w:type="dxa"/>
            </w:tcMar>
            <w:vAlign w:val="center"/>
          </w:tcPr>
          <w:p w14:paraId="5FD8A706">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hint="eastAsia" w:ascii="宋体" w:hAnsi="宋体" w:eastAsia="宋体" w:cs="宋体"/>
                <w:kern w:val="0"/>
                <w:sz w:val="24"/>
                <w:szCs w:val="24"/>
                <w:highlight w:val="none"/>
              </w:rPr>
            </w:pPr>
            <w:r>
              <w:rPr>
                <w:rFonts w:hint="eastAsia" w:ascii="宋体" w:hAnsi="宋体" w:eastAsia="宋体" w:cs="宋体"/>
                <w:kern w:val="24"/>
                <w:sz w:val="24"/>
                <w:szCs w:val="24"/>
                <w:highlight w:val="none"/>
              </w:rPr>
              <w:t>7KW单枪交流壁挂式充电桩</w:t>
            </w:r>
          </w:p>
        </w:tc>
        <w:tc>
          <w:tcPr>
            <w:tcW w:w="4316" w:type="dxa"/>
            <w:vMerge w:val="restart"/>
            <w:tcBorders>
              <w:top w:val="single" w:color="000000" w:sz="8" w:space="0"/>
              <w:left w:val="single" w:color="000000" w:sz="8" w:space="0"/>
              <w:bottom w:val="single" w:color="000000" w:sz="8" w:space="0"/>
              <w:right w:val="single" w:color="000000" w:sz="8" w:space="0"/>
            </w:tcBorders>
            <w:shd w:val="clear" w:color="auto" w:fill="auto"/>
            <w:tcMar>
              <w:top w:w="45" w:type="dxa"/>
              <w:left w:w="90" w:type="dxa"/>
              <w:bottom w:w="45" w:type="dxa"/>
              <w:right w:w="90" w:type="dxa"/>
            </w:tcMar>
            <w:vAlign w:val="center"/>
          </w:tcPr>
          <w:p w14:paraId="35A80B84">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hint="eastAsia" w:ascii="宋体" w:hAnsi="宋体" w:eastAsia="宋体" w:cs="宋体"/>
                <w:kern w:val="0"/>
                <w:sz w:val="24"/>
                <w:szCs w:val="24"/>
                <w:highlight w:val="none"/>
              </w:rPr>
            </w:pPr>
            <w:r>
              <w:rPr>
                <w:rFonts w:hint="eastAsia" w:ascii="宋体" w:hAnsi="宋体" w:eastAsia="宋体" w:cs="宋体"/>
                <w:kern w:val="24"/>
                <w:sz w:val="24"/>
                <w:szCs w:val="24"/>
                <w:highlight w:val="none"/>
              </w:rPr>
              <w:t>扫码刷卡启动，</w:t>
            </w:r>
            <w:r>
              <w:rPr>
                <w:rFonts w:hint="eastAsia" w:ascii="宋体" w:hAnsi="宋体" w:eastAsia="宋体" w:cs="宋体"/>
                <w:kern w:val="24"/>
                <w:sz w:val="24"/>
                <w:szCs w:val="24"/>
                <w:highlight w:val="none"/>
                <w:lang w:val="en-US" w:eastAsia="zh-CN"/>
              </w:rPr>
              <w:t>5</w:t>
            </w:r>
            <w:r>
              <w:rPr>
                <w:rFonts w:hint="eastAsia" w:ascii="宋体" w:hAnsi="宋体" w:eastAsia="宋体" w:cs="宋体"/>
                <w:kern w:val="24"/>
                <w:sz w:val="24"/>
                <w:szCs w:val="24"/>
                <w:highlight w:val="none"/>
              </w:rPr>
              <w:t>米枪线，4G通讯，同时需要具备以太网等有线组网功能，配备读卡器一台，配套充电卡、4G流量卡各一张</w:t>
            </w:r>
          </w:p>
        </w:tc>
        <w:tc>
          <w:tcPr>
            <w:tcW w:w="3225" w:type="dxa"/>
            <w:vMerge w:val="restart"/>
            <w:tcBorders>
              <w:top w:val="single" w:color="000000" w:sz="8" w:space="0"/>
              <w:left w:val="single" w:color="000000" w:sz="8" w:space="0"/>
              <w:bottom w:val="single" w:color="000000" w:sz="8" w:space="0"/>
              <w:right w:val="single" w:color="000000" w:sz="8" w:space="0"/>
            </w:tcBorders>
            <w:shd w:val="clear" w:color="auto" w:fill="auto"/>
            <w:tcMar>
              <w:top w:w="45" w:type="dxa"/>
              <w:left w:w="90" w:type="dxa"/>
              <w:bottom w:w="45" w:type="dxa"/>
              <w:right w:w="90" w:type="dxa"/>
            </w:tcMar>
            <w:vAlign w:val="center"/>
          </w:tcPr>
          <w:p w14:paraId="73E4E030">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rPr>
            </w:pPr>
          </w:p>
          <w:p w14:paraId="22049044">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rPr>
            </w:pPr>
            <w:r>
              <w:rPr>
                <w:rFonts w:hint="eastAsia" w:ascii="宋体" w:hAnsi="宋体" w:eastAsia="宋体" w:cs="宋体"/>
                <w:kern w:val="24"/>
                <w:sz w:val="24"/>
                <w:szCs w:val="24"/>
              </w:rPr>
              <w:t>符合标准，满足基本充电需求，满足运营需求，提升安全等级，经济型</w:t>
            </w:r>
          </w:p>
          <w:p w14:paraId="39D52714">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kern w:val="0"/>
                <w:sz w:val="24"/>
                <w:szCs w:val="24"/>
              </w:rPr>
            </w:pPr>
          </w:p>
        </w:tc>
      </w:tr>
      <w:tr w14:paraId="66CC937C">
        <w:tblPrEx>
          <w:tblCellMar>
            <w:top w:w="0" w:type="dxa"/>
            <w:left w:w="0" w:type="dxa"/>
            <w:bottom w:w="0" w:type="dxa"/>
            <w:right w:w="0" w:type="dxa"/>
          </w:tblCellMar>
        </w:tblPrEx>
        <w:trPr>
          <w:trHeight w:val="897" w:hRule="atLeast"/>
          <w:jc w:val="center"/>
        </w:trPr>
        <w:tc>
          <w:tcPr>
            <w:tcW w:w="1948" w:type="dxa"/>
            <w:tcBorders>
              <w:top w:val="single" w:color="000000" w:sz="8" w:space="0"/>
              <w:left w:val="single" w:color="000000" w:sz="8" w:space="0"/>
              <w:bottom w:val="single" w:color="000000" w:sz="8" w:space="0"/>
              <w:right w:val="single" w:color="000000" w:sz="8" w:space="0"/>
            </w:tcBorders>
            <w:shd w:val="clear" w:color="auto" w:fill="auto"/>
            <w:tcMar>
              <w:top w:w="45" w:type="dxa"/>
              <w:left w:w="90" w:type="dxa"/>
              <w:bottom w:w="45" w:type="dxa"/>
              <w:right w:w="90" w:type="dxa"/>
            </w:tcMar>
            <w:vAlign w:val="center"/>
          </w:tcPr>
          <w:p w14:paraId="03DADD87">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hint="eastAsia" w:ascii="宋体" w:hAnsi="宋体" w:eastAsia="宋体" w:cs="宋体"/>
                <w:kern w:val="0"/>
                <w:sz w:val="24"/>
                <w:szCs w:val="24"/>
              </w:rPr>
            </w:pPr>
            <w:r>
              <w:rPr>
                <w:rFonts w:hint="eastAsia" w:ascii="宋体" w:hAnsi="宋体" w:eastAsia="宋体" w:cs="宋体"/>
                <w:kern w:val="24"/>
                <w:sz w:val="24"/>
                <w:szCs w:val="24"/>
              </w:rPr>
              <w:t>7KW单枪交流立式充电桩</w:t>
            </w:r>
          </w:p>
        </w:tc>
        <w:tc>
          <w:tcPr>
            <w:tcW w:w="43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11B4336">
            <w:pPr>
              <w:keepNext w:val="0"/>
              <w:keepLines w:val="0"/>
              <w:pageBreakBefore w:val="0"/>
              <w:widowControl/>
              <w:kinsoku/>
              <w:wordWrap/>
              <w:overflowPunct/>
              <w:topLinePunct w:val="0"/>
              <w:autoSpaceDE/>
              <w:autoSpaceDN/>
              <w:bidi w:val="0"/>
              <w:adjustRightInd/>
              <w:snapToGrid/>
              <w:spacing w:line="240" w:lineRule="auto"/>
              <w:jc w:val="left"/>
              <w:rPr>
                <w:rFonts w:hint="eastAsia" w:ascii="宋体" w:hAnsi="宋体" w:eastAsia="宋体" w:cs="宋体"/>
                <w:kern w:val="0"/>
                <w:sz w:val="24"/>
                <w:szCs w:val="24"/>
              </w:rPr>
            </w:pPr>
          </w:p>
        </w:tc>
        <w:tc>
          <w:tcPr>
            <w:tcW w:w="32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9CC5F3F">
            <w:pPr>
              <w:keepNext w:val="0"/>
              <w:keepLines w:val="0"/>
              <w:pageBreakBefore w:val="0"/>
              <w:widowControl/>
              <w:kinsoku/>
              <w:wordWrap/>
              <w:overflowPunct/>
              <w:topLinePunct w:val="0"/>
              <w:autoSpaceDE/>
              <w:autoSpaceDN/>
              <w:bidi w:val="0"/>
              <w:adjustRightInd/>
              <w:snapToGrid/>
              <w:spacing w:line="240" w:lineRule="auto"/>
              <w:jc w:val="left"/>
              <w:rPr>
                <w:rFonts w:hint="eastAsia" w:ascii="宋体" w:hAnsi="宋体" w:eastAsia="宋体" w:cs="宋体"/>
                <w:kern w:val="0"/>
                <w:sz w:val="24"/>
                <w:szCs w:val="24"/>
              </w:rPr>
            </w:pPr>
          </w:p>
        </w:tc>
      </w:tr>
    </w:tbl>
    <w:p w14:paraId="1D7F9978">
      <w:pPr>
        <w:pStyle w:val="4"/>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rPr>
      </w:pPr>
    </w:p>
    <w:p w14:paraId="4E09AD77">
      <w:pPr>
        <w:rPr>
          <w:rFonts w:hint="eastAsia" w:ascii="宋体" w:hAnsi="宋体" w:eastAsia="宋体" w:cs="宋体"/>
        </w:rPr>
      </w:pPr>
    </w:p>
    <w:p w14:paraId="6C8FCA75">
      <w:pPr>
        <w:pStyle w:val="2"/>
        <w:rPr>
          <w:rFonts w:hint="eastAsia" w:ascii="宋体" w:hAnsi="宋体" w:eastAsia="宋体" w:cs="宋体"/>
        </w:rPr>
      </w:pPr>
    </w:p>
    <w:p w14:paraId="69966CD5">
      <w:pPr>
        <w:pStyle w:val="4"/>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rPr>
      </w:pPr>
      <w:r>
        <w:rPr>
          <w:rFonts w:hint="eastAsia" w:ascii="宋体" w:hAnsi="宋体" w:eastAsia="宋体" w:cs="宋体"/>
        </w:rPr>
        <w:t>2、7k</w:t>
      </w:r>
      <w:r>
        <w:rPr>
          <w:rFonts w:hint="eastAsia" w:ascii="宋体" w:hAnsi="宋体" w:eastAsia="宋体" w:cs="宋体"/>
        </w:rPr>
        <w:t>W</w:t>
      </w:r>
      <w:r>
        <w:rPr>
          <w:rFonts w:hint="eastAsia" w:ascii="宋体" w:hAnsi="宋体" w:eastAsia="宋体" w:cs="宋体"/>
        </w:rPr>
        <w:t>交流充电桩技术规范</w:t>
      </w:r>
    </w:p>
    <w:p w14:paraId="7DEF1828">
      <w:pPr>
        <w:pStyle w:val="9"/>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rPr>
      </w:pPr>
      <w:r>
        <w:rPr>
          <w:rFonts w:hint="eastAsia" w:ascii="宋体" w:hAnsi="宋体" w:eastAsia="宋体" w:cs="宋体"/>
        </w:rPr>
        <w:t>2.1</w:t>
      </w:r>
      <w:r>
        <w:rPr>
          <w:rFonts w:hint="eastAsia" w:ascii="宋体" w:hAnsi="宋体" w:eastAsia="宋体" w:cs="宋体"/>
        </w:rPr>
        <w:t>标准和规范</w:t>
      </w:r>
    </w:p>
    <w:p w14:paraId="3D3C0D66">
      <w:pPr>
        <w:overflowPunct w:val="0"/>
        <w:topLinePunct/>
        <w:spacing w:line="360" w:lineRule="auto"/>
        <w:ind w:firstLine="480" w:firstLineChars="200"/>
        <w:rPr>
          <w:rFonts w:hint="eastAsia" w:ascii="宋体" w:hAnsi="宋体" w:eastAsia="宋体" w:cs="宋体"/>
          <w:sz w:val="24"/>
          <w:szCs w:val="24"/>
        </w:rPr>
      </w:pPr>
      <w:r>
        <w:rPr>
          <w:rStyle w:val="314"/>
          <w:rFonts w:hint="eastAsia" w:ascii="宋体" w:hAnsi="宋体" w:eastAsia="宋体" w:cs="宋体"/>
          <w:sz w:val="24"/>
          <w:szCs w:val="24"/>
        </w:rPr>
        <w:t>2.1.</w:t>
      </w:r>
      <w:r>
        <w:rPr>
          <w:rStyle w:val="314"/>
          <w:rFonts w:hint="eastAsia" w:ascii="宋体" w:hAnsi="宋体" w:eastAsia="宋体" w:cs="宋体"/>
          <w:sz w:val="24"/>
          <w:szCs w:val="24"/>
        </w:rPr>
        <w:t>1</w:t>
      </w:r>
      <w:r>
        <w:rPr>
          <w:rFonts w:hint="eastAsia" w:ascii="宋体" w:hAnsi="宋体" w:eastAsia="宋体" w:cs="宋体"/>
          <w:sz w:val="24"/>
          <w:szCs w:val="24"/>
        </w:rPr>
        <w:t>本规范</w:t>
      </w:r>
      <w:r>
        <w:rPr>
          <w:rFonts w:hint="eastAsia" w:ascii="宋体" w:hAnsi="宋体" w:eastAsia="宋体" w:cs="宋体"/>
          <w:sz w:val="24"/>
          <w:szCs w:val="24"/>
        </w:rPr>
        <w:t>按有关标准、规范或准则规定的合同设备</w:t>
      </w:r>
      <w:r>
        <w:rPr>
          <w:rFonts w:hint="eastAsia" w:ascii="宋体" w:hAnsi="宋体" w:eastAsia="宋体" w:cs="宋体"/>
          <w:sz w:val="24"/>
          <w:szCs w:val="24"/>
        </w:rPr>
        <w:t>。</w:t>
      </w:r>
      <w:r>
        <w:rPr>
          <w:rFonts w:hint="eastAsia" w:ascii="宋体" w:hAnsi="宋体" w:eastAsia="宋体" w:cs="宋体"/>
          <w:sz w:val="24"/>
          <w:szCs w:val="24"/>
        </w:rPr>
        <w:t>投标方向其他厂商购买的所有</w:t>
      </w:r>
      <w:r>
        <w:rPr>
          <w:rFonts w:hint="eastAsia" w:ascii="宋体" w:hAnsi="宋体" w:eastAsia="宋体" w:cs="宋体"/>
          <w:sz w:val="24"/>
          <w:szCs w:val="24"/>
        </w:rPr>
        <w:t>辅件</w:t>
      </w:r>
      <w:r>
        <w:rPr>
          <w:rFonts w:hint="eastAsia" w:ascii="宋体" w:hAnsi="宋体" w:eastAsia="宋体" w:cs="宋体"/>
          <w:sz w:val="24"/>
          <w:szCs w:val="24"/>
        </w:rPr>
        <w:t>和设备，</w:t>
      </w:r>
      <w:r>
        <w:rPr>
          <w:rFonts w:hint="eastAsia" w:ascii="宋体" w:hAnsi="宋体" w:eastAsia="宋体" w:cs="宋体"/>
          <w:sz w:val="24"/>
          <w:szCs w:val="24"/>
        </w:rPr>
        <w:t>也</w:t>
      </w:r>
      <w:r>
        <w:rPr>
          <w:rFonts w:hint="eastAsia" w:ascii="宋体" w:hAnsi="宋体" w:eastAsia="宋体" w:cs="宋体"/>
          <w:sz w:val="24"/>
          <w:szCs w:val="24"/>
        </w:rPr>
        <w:t>应符合这些标准、规范或准则的要求。</w:t>
      </w:r>
    </w:p>
    <w:p w14:paraId="04E38B65">
      <w:pPr>
        <w:overflowPunct w:val="0"/>
        <w:topLinePunct/>
        <w:spacing w:line="360" w:lineRule="auto"/>
        <w:ind w:firstLine="480" w:firstLineChars="200"/>
        <w:rPr>
          <w:rFonts w:hint="eastAsia" w:ascii="宋体" w:hAnsi="宋体" w:eastAsia="宋体" w:cs="宋体"/>
          <w:sz w:val="24"/>
          <w:szCs w:val="24"/>
        </w:rPr>
      </w:pPr>
      <w:r>
        <w:rPr>
          <w:rStyle w:val="314"/>
          <w:rFonts w:hint="eastAsia" w:ascii="宋体" w:hAnsi="宋体" w:eastAsia="宋体" w:cs="宋体"/>
          <w:sz w:val="24"/>
          <w:szCs w:val="24"/>
        </w:rPr>
        <w:t>2.1</w:t>
      </w:r>
      <w:r>
        <w:rPr>
          <w:rStyle w:val="314"/>
          <w:rFonts w:hint="eastAsia" w:ascii="宋体" w:hAnsi="宋体" w:eastAsia="宋体" w:cs="宋体"/>
          <w:sz w:val="24"/>
          <w:szCs w:val="24"/>
        </w:rPr>
        <w:t>.2</w:t>
      </w:r>
      <w:r>
        <w:rPr>
          <w:rFonts w:hint="eastAsia" w:ascii="宋体" w:hAnsi="宋体" w:eastAsia="宋体" w:cs="宋体"/>
          <w:sz w:val="24"/>
          <w:szCs w:val="24"/>
        </w:rPr>
        <w:t>表</w:t>
      </w:r>
      <w:r>
        <w:rPr>
          <w:rFonts w:hint="eastAsia" w:ascii="宋体" w:hAnsi="宋体" w:eastAsia="宋体" w:cs="宋体"/>
          <w:sz w:val="24"/>
          <w:szCs w:val="24"/>
        </w:rPr>
        <w:t>1</w:t>
      </w:r>
      <w:r>
        <w:rPr>
          <w:rFonts w:hint="eastAsia" w:ascii="宋体" w:hAnsi="宋体" w:eastAsia="宋体" w:cs="宋体"/>
          <w:sz w:val="24"/>
          <w:szCs w:val="24"/>
        </w:rPr>
        <w:t>所列标准中的条款通过</w:t>
      </w:r>
      <w:r>
        <w:rPr>
          <w:rFonts w:hint="eastAsia" w:ascii="宋体" w:hAnsi="宋体" w:eastAsia="宋体" w:cs="宋体"/>
          <w:sz w:val="24"/>
          <w:szCs w:val="24"/>
        </w:rPr>
        <w:t>本规范</w:t>
      </w:r>
      <w:r>
        <w:rPr>
          <w:rFonts w:hint="eastAsia" w:ascii="宋体" w:hAnsi="宋体" w:eastAsia="宋体" w:cs="宋体"/>
          <w:sz w:val="24"/>
          <w:szCs w:val="24"/>
        </w:rPr>
        <w:t>的引用而成为</w:t>
      </w:r>
      <w:r>
        <w:rPr>
          <w:rFonts w:hint="eastAsia" w:ascii="宋体" w:hAnsi="宋体" w:eastAsia="宋体" w:cs="宋体"/>
          <w:sz w:val="24"/>
          <w:szCs w:val="24"/>
        </w:rPr>
        <w:t>本规范</w:t>
      </w:r>
      <w:r>
        <w:rPr>
          <w:rFonts w:hint="eastAsia" w:ascii="宋体" w:hAnsi="宋体" w:eastAsia="宋体" w:cs="宋体"/>
          <w:sz w:val="24"/>
          <w:szCs w:val="24"/>
        </w:rPr>
        <w:t>的条款。凡经修订的标准，其最新版本适用于</w:t>
      </w:r>
      <w:r>
        <w:rPr>
          <w:rFonts w:hint="eastAsia" w:ascii="宋体" w:hAnsi="宋体" w:eastAsia="宋体" w:cs="宋体"/>
          <w:sz w:val="24"/>
          <w:szCs w:val="24"/>
        </w:rPr>
        <w:t>本规范</w:t>
      </w:r>
      <w:r>
        <w:rPr>
          <w:rFonts w:hint="eastAsia" w:ascii="宋体" w:hAnsi="宋体" w:eastAsia="宋体" w:cs="宋体"/>
          <w:sz w:val="24"/>
          <w:szCs w:val="24"/>
        </w:rPr>
        <w:t>。</w:t>
      </w:r>
    </w:p>
    <w:p w14:paraId="54083226">
      <w:pPr>
        <w:pStyle w:val="306"/>
        <w:overflowPunct w:val="0"/>
        <w:spacing w:before="0" w:after="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表1</w:t>
      </w:r>
      <w:r>
        <w:rPr>
          <w:rFonts w:hint="eastAsia" w:ascii="宋体" w:hAnsi="宋体" w:eastAsia="宋体" w:cs="宋体"/>
          <w:sz w:val="24"/>
          <w:szCs w:val="24"/>
        </w:rPr>
        <w:t xml:space="preserve">  </w:t>
      </w:r>
      <w:r>
        <w:rPr>
          <w:rFonts w:hint="eastAsia" w:ascii="宋体" w:hAnsi="宋体" w:eastAsia="宋体" w:cs="宋体"/>
          <w:sz w:val="24"/>
          <w:szCs w:val="24"/>
        </w:rPr>
        <w:t>投标方提供的设备和附件需要满足的主要标准</w:t>
      </w:r>
    </w:p>
    <w:tbl>
      <w:tblPr>
        <w:tblStyle w:val="38"/>
        <w:tblW w:w="975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145"/>
        <w:gridCol w:w="7614"/>
      </w:tblGrid>
      <w:tr w14:paraId="0B61F9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2145" w:type="dxa"/>
            <w:tcMar>
              <w:left w:w="0" w:type="dxa"/>
              <w:right w:w="0" w:type="dxa"/>
            </w:tcMar>
            <w:vAlign w:val="center"/>
          </w:tcPr>
          <w:p w14:paraId="01C7EAA5">
            <w:pPr>
              <w:pStyle w:val="307"/>
              <w:keepNext w:val="0"/>
              <w:keepLines w:val="0"/>
              <w:pageBreakBefore w:val="0"/>
              <w:widowControl w:val="0"/>
              <w:kinsoku/>
              <w:wordWrap/>
              <w:overflowPunct w:val="0"/>
              <w:autoSpaceDE/>
              <w:autoSpaceDN/>
              <w:bidi w:val="0"/>
              <w:adjustRightInd/>
              <w:snapToGrid/>
              <w:spacing w:before="0" w:beforeLines="0" w:after="0" w:afterLines="0" w:line="240" w:lineRule="auto"/>
              <w:ind w:left="0" w:leftChars="0" w:right="0" w:rightChars="0"/>
              <w:textAlignment w:val="auto"/>
              <w:rPr>
                <w:rFonts w:hint="eastAsia" w:ascii="宋体" w:hAnsi="宋体" w:eastAsia="宋体" w:cs="宋体"/>
                <w:b/>
                <w:sz w:val="24"/>
                <w:szCs w:val="24"/>
              </w:rPr>
            </w:pPr>
            <w:r>
              <w:rPr>
                <w:rFonts w:hint="eastAsia" w:ascii="宋体" w:hAnsi="宋体" w:eastAsia="宋体" w:cs="宋体"/>
                <w:b/>
                <w:sz w:val="24"/>
                <w:szCs w:val="24"/>
              </w:rPr>
              <w:t>标准号</w:t>
            </w:r>
          </w:p>
        </w:tc>
        <w:tc>
          <w:tcPr>
            <w:tcW w:w="7614" w:type="dxa"/>
            <w:tcMar>
              <w:left w:w="0" w:type="dxa"/>
              <w:right w:w="0" w:type="dxa"/>
            </w:tcMar>
            <w:vAlign w:val="center"/>
          </w:tcPr>
          <w:p w14:paraId="53A93BF5">
            <w:pPr>
              <w:pStyle w:val="307"/>
              <w:keepNext w:val="0"/>
              <w:keepLines w:val="0"/>
              <w:pageBreakBefore w:val="0"/>
              <w:widowControl w:val="0"/>
              <w:kinsoku/>
              <w:wordWrap/>
              <w:overflowPunct w:val="0"/>
              <w:autoSpaceDE/>
              <w:autoSpaceDN/>
              <w:bidi w:val="0"/>
              <w:adjustRightInd/>
              <w:snapToGrid/>
              <w:spacing w:before="0" w:beforeLines="0" w:after="0" w:afterLines="0" w:line="240" w:lineRule="auto"/>
              <w:ind w:left="0" w:leftChars="0" w:right="0" w:rightChars="0"/>
              <w:textAlignment w:val="auto"/>
              <w:rPr>
                <w:rFonts w:hint="eastAsia" w:ascii="宋体" w:hAnsi="宋体" w:eastAsia="宋体" w:cs="宋体"/>
                <w:b/>
                <w:sz w:val="24"/>
                <w:szCs w:val="24"/>
              </w:rPr>
            </w:pPr>
            <w:r>
              <w:rPr>
                <w:rFonts w:hint="eastAsia" w:ascii="宋体" w:hAnsi="宋体" w:eastAsia="宋体" w:cs="宋体"/>
                <w:b/>
                <w:sz w:val="24"/>
                <w:szCs w:val="24"/>
              </w:rPr>
              <w:t>标准名称</w:t>
            </w:r>
          </w:p>
        </w:tc>
      </w:tr>
      <w:tr w14:paraId="1BC03E9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2145" w:type="dxa"/>
            <w:tcMar>
              <w:left w:w="0" w:type="dxa"/>
              <w:right w:w="0" w:type="dxa"/>
            </w:tcMar>
            <w:vAlign w:val="center"/>
          </w:tcPr>
          <w:p w14:paraId="3825D187">
            <w:pPr>
              <w:keepNext w:val="0"/>
              <w:keepLines w:val="0"/>
              <w:pageBreakBefore w:val="0"/>
              <w:widowControl w:val="0"/>
              <w:kinsoku/>
              <w:wordWrap/>
              <w:overflowPunct/>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GB/T 2423.1-2008</w:t>
            </w:r>
          </w:p>
        </w:tc>
        <w:tc>
          <w:tcPr>
            <w:tcW w:w="7614" w:type="dxa"/>
            <w:tcMar>
              <w:left w:w="0" w:type="dxa"/>
              <w:right w:w="0" w:type="dxa"/>
            </w:tcMar>
            <w:vAlign w:val="center"/>
          </w:tcPr>
          <w:p w14:paraId="2E044E6B">
            <w:pPr>
              <w:keepNext w:val="0"/>
              <w:keepLines w:val="0"/>
              <w:pageBreakBefore w:val="0"/>
              <w:widowControl w:val="0"/>
              <w:kinsoku/>
              <w:wordWrap/>
              <w:overflowPunct/>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电工电子产品环境试验　第2部分：试验方法　试验A：低温</w:t>
            </w:r>
          </w:p>
        </w:tc>
      </w:tr>
      <w:tr w14:paraId="23E8B90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2145" w:type="dxa"/>
            <w:tcMar>
              <w:left w:w="0" w:type="dxa"/>
              <w:right w:w="0" w:type="dxa"/>
            </w:tcMar>
            <w:vAlign w:val="center"/>
          </w:tcPr>
          <w:p w14:paraId="0C74434D">
            <w:pPr>
              <w:keepNext w:val="0"/>
              <w:keepLines w:val="0"/>
              <w:pageBreakBefore w:val="0"/>
              <w:widowControl w:val="0"/>
              <w:kinsoku/>
              <w:wordWrap/>
              <w:overflowPunct/>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GB/T 2423.2-2008</w:t>
            </w:r>
          </w:p>
        </w:tc>
        <w:tc>
          <w:tcPr>
            <w:tcW w:w="7614" w:type="dxa"/>
            <w:tcMar>
              <w:left w:w="0" w:type="dxa"/>
              <w:right w:w="0" w:type="dxa"/>
            </w:tcMar>
            <w:vAlign w:val="center"/>
          </w:tcPr>
          <w:p w14:paraId="017B1E36">
            <w:pPr>
              <w:keepNext w:val="0"/>
              <w:keepLines w:val="0"/>
              <w:pageBreakBefore w:val="0"/>
              <w:widowControl w:val="0"/>
              <w:kinsoku/>
              <w:wordWrap/>
              <w:overflowPunct/>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电工电子产品环境试验　第2部分：试验方法　试验B：高温</w:t>
            </w:r>
          </w:p>
        </w:tc>
      </w:tr>
      <w:tr w14:paraId="42D822E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2145" w:type="dxa"/>
            <w:tcMar>
              <w:left w:w="0" w:type="dxa"/>
              <w:right w:w="0" w:type="dxa"/>
            </w:tcMar>
            <w:vAlign w:val="center"/>
          </w:tcPr>
          <w:p w14:paraId="69684A8E">
            <w:pPr>
              <w:keepNext w:val="0"/>
              <w:keepLines w:val="0"/>
              <w:pageBreakBefore w:val="0"/>
              <w:widowControl w:val="0"/>
              <w:kinsoku/>
              <w:wordWrap/>
              <w:overflowPunct/>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GB/T 2423.</w:t>
            </w:r>
            <w:r>
              <w:rPr>
                <w:rFonts w:hint="eastAsia" w:ascii="宋体" w:hAnsi="宋体" w:eastAsia="宋体" w:cs="宋体"/>
                <w:sz w:val="24"/>
                <w:szCs w:val="24"/>
              </w:rPr>
              <w:t>3</w:t>
            </w:r>
            <w:r>
              <w:rPr>
                <w:rFonts w:hint="eastAsia" w:ascii="宋体" w:hAnsi="宋体" w:eastAsia="宋体" w:cs="宋体"/>
                <w:sz w:val="24"/>
                <w:szCs w:val="24"/>
              </w:rPr>
              <w:t>-200</w:t>
            </w:r>
            <w:r>
              <w:rPr>
                <w:rFonts w:hint="eastAsia" w:ascii="宋体" w:hAnsi="宋体" w:eastAsia="宋体" w:cs="宋体"/>
                <w:sz w:val="24"/>
                <w:szCs w:val="24"/>
              </w:rPr>
              <w:t>6</w:t>
            </w:r>
          </w:p>
        </w:tc>
        <w:tc>
          <w:tcPr>
            <w:tcW w:w="7614" w:type="dxa"/>
            <w:tcMar>
              <w:left w:w="0" w:type="dxa"/>
              <w:right w:w="0" w:type="dxa"/>
            </w:tcMar>
            <w:vAlign w:val="center"/>
          </w:tcPr>
          <w:p w14:paraId="6949A7B9">
            <w:pPr>
              <w:keepNext w:val="0"/>
              <w:keepLines w:val="0"/>
              <w:pageBreakBefore w:val="0"/>
              <w:widowControl w:val="0"/>
              <w:kinsoku/>
              <w:wordWrap/>
              <w:overflowPunct/>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电工电子产品环境试验  第2部分：试验方法 试验Cab：恒定湿热试验</w:t>
            </w:r>
          </w:p>
        </w:tc>
      </w:tr>
      <w:tr w14:paraId="0900FB2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2145" w:type="dxa"/>
            <w:tcMar>
              <w:left w:w="0" w:type="dxa"/>
              <w:right w:w="0" w:type="dxa"/>
            </w:tcMar>
            <w:vAlign w:val="center"/>
          </w:tcPr>
          <w:p w14:paraId="0706C35B">
            <w:pPr>
              <w:keepNext w:val="0"/>
              <w:keepLines w:val="0"/>
              <w:pageBreakBefore w:val="0"/>
              <w:widowControl w:val="0"/>
              <w:kinsoku/>
              <w:wordWrap/>
              <w:overflowPunct/>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GB/T 2423.</w:t>
            </w:r>
            <w:r>
              <w:rPr>
                <w:rFonts w:hint="eastAsia" w:ascii="宋体" w:hAnsi="宋体" w:eastAsia="宋体" w:cs="宋体"/>
                <w:sz w:val="24"/>
                <w:szCs w:val="24"/>
              </w:rPr>
              <w:t>55</w:t>
            </w:r>
            <w:r>
              <w:rPr>
                <w:rFonts w:hint="eastAsia" w:ascii="宋体" w:hAnsi="宋体" w:eastAsia="宋体" w:cs="宋体"/>
                <w:sz w:val="24"/>
                <w:szCs w:val="24"/>
              </w:rPr>
              <w:t>-200</w:t>
            </w:r>
            <w:r>
              <w:rPr>
                <w:rFonts w:hint="eastAsia" w:ascii="宋体" w:hAnsi="宋体" w:eastAsia="宋体" w:cs="宋体"/>
                <w:sz w:val="24"/>
                <w:szCs w:val="24"/>
              </w:rPr>
              <w:t>6</w:t>
            </w:r>
          </w:p>
        </w:tc>
        <w:tc>
          <w:tcPr>
            <w:tcW w:w="7614" w:type="dxa"/>
            <w:tcMar>
              <w:left w:w="0" w:type="dxa"/>
              <w:right w:w="0" w:type="dxa"/>
            </w:tcMar>
            <w:vAlign w:val="center"/>
          </w:tcPr>
          <w:p w14:paraId="10F58545">
            <w:pPr>
              <w:keepNext w:val="0"/>
              <w:keepLines w:val="0"/>
              <w:pageBreakBefore w:val="0"/>
              <w:widowControl w:val="0"/>
              <w:kinsoku/>
              <w:wordWrap/>
              <w:overflowPunct/>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电工电子产品环境试验　第2部分：环境测试实验Eh：锤击试验</w:t>
            </w:r>
          </w:p>
        </w:tc>
      </w:tr>
      <w:tr w14:paraId="02B6E6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2145" w:type="dxa"/>
            <w:tcMar>
              <w:left w:w="0" w:type="dxa"/>
              <w:right w:w="0" w:type="dxa"/>
            </w:tcMar>
            <w:vAlign w:val="center"/>
          </w:tcPr>
          <w:p w14:paraId="50E8446A">
            <w:pPr>
              <w:keepNext w:val="0"/>
              <w:keepLines w:val="0"/>
              <w:pageBreakBefore w:val="0"/>
              <w:widowControl w:val="0"/>
              <w:kinsoku/>
              <w:wordWrap/>
              <w:overflowPunct/>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GB</w:t>
            </w:r>
            <w:r>
              <w:rPr>
                <w:rFonts w:hint="eastAsia" w:ascii="宋体" w:hAnsi="宋体" w:eastAsia="宋体" w:cs="宋体"/>
                <w:sz w:val="24"/>
                <w:szCs w:val="24"/>
              </w:rPr>
              <w:t xml:space="preserve"> 4028-2017</w:t>
            </w:r>
          </w:p>
        </w:tc>
        <w:tc>
          <w:tcPr>
            <w:tcW w:w="7614" w:type="dxa"/>
            <w:tcMar>
              <w:left w:w="0" w:type="dxa"/>
              <w:right w:w="0" w:type="dxa"/>
            </w:tcMar>
            <w:vAlign w:val="center"/>
          </w:tcPr>
          <w:p w14:paraId="56CB9D82">
            <w:pPr>
              <w:keepNext w:val="0"/>
              <w:keepLines w:val="0"/>
              <w:pageBreakBefore w:val="0"/>
              <w:widowControl w:val="0"/>
              <w:kinsoku/>
              <w:wordWrap/>
              <w:overflowPunct/>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外壳防护等级（IP代码）</w:t>
            </w:r>
          </w:p>
        </w:tc>
      </w:tr>
      <w:tr w14:paraId="4BFE9F4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2145" w:type="dxa"/>
            <w:tcMar>
              <w:left w:w="0" w:type="dxa"/>
              <w:right w:w="0" w:type="dxa"/>
            </w:tcMar>
            <w:vAlign w:val="center"/>
          </w:tcPr>
          <w:p w14:paraId="3B7B8BF2">
            <w:pPr>
              <w:keepNext w:val="0"/>
              <w:keepLines w:val="0"/>
              <w:pageBreakBefore w:val="0"/>
              <w:widowControl w:val="0"/>
              <w:kinsoku/>
              <w:wordWrap/>
              <w:overflowPunct/>
              <w:topLinePunct/>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GB/T 13384-2008</w:t>
            </w:r>
          </w:p>
        </w:tc>
        <w:tc>
          <w:tcPr>
            <w:tcW w:w="7614" w:type="dxa"/>
            <w:tcMar>
              <w:left w:w="0" w:type="dxa"/>
              <w:right w:w="0" w:type="dxa"/>
            </w:tcMar>
            <w:vAlign w:val="center"/>
          </w:tcPr>
          <w:p w14:paraId="64D76B0C">
            <w:pPr>
              <w:keepNext w:val="0"/>
              <w:keepLines w:val="0"/>
              <w:pageBreakBefore w:val="0"/>
              <w:widowControl w:val="0"/>
              <w:kinsoku/>
              <w:wordWrap/>
              <w:overflowPunct/>
              <w:topLinePunct/>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机电产品包装通用技术条件</w:t>
            </w:r>
          </w:p>
        </w:tc>
      </w:tr>
      <w:tr w14:paraId="481E6A8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2145" w:type="dxa"/>
            <w:tcMar>
              <w:left w:w="0" w:type="dxa"/>
              <w:right w:w="0" w:type="dxa"/>
            </w:tcMar>
            <w:vAlign w:val="center"/>
          </w:tcPr>
          <w:p w14:paraId="246E08ED">
            <w:pPr>
              <w:keepNext w:val="0"/>
              <w:keepLines w:val="0"/>
              <w:pageBreakBefore w:val="0"/>
              <w:widowControl w:val="0"/>
              <w:kinsoku/>
              <w:wordWrap/>
              <w:overflowPunct/>
              <w:autoSpaceDE/>
              <w:autoSpaceDN/>
              <w:bidi w:val="0"/>
              <w:adjustRightInd/>
              <w:snapToGrid/>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GB/T 18487.1</w:t>
            </w:r>
            <w:r>
              <w:rPr>
                <w:rFonts w:hint="eastAsia" w:ascii="宋体" w:hAnsi="宋体" w:eastAsia="宋体" w:cs="宋体"/>
                <w:sz w:val="24"/>
                <w:szCs w:val="24"/>
              </w:rPr>
              <w:t>-20</w:t>
            </w:r>
            <w:r>
              <w:rPr>
                <w:rFonts w:hint="eastAsia" w:ascii="宋体" w:hAnsi="宋体" w:eastAsia="宋体" w:cs="宋体"/>
                <w:sz w:val="24"/>
                <w:szCs w:val="24"/>
                <w:lang w:val="en-US" w:eastAsia="zh-CN"/>
              </w:rPr>
              <w:t>23</w:t>
            </w:r>
          </w:p>
        </w:tc>
        <w:tc>
          <w:tcPr>
            <w:tcW w:w="7614" w:type="dxa"/>
            <w:tcMar>
              <w:left w:w="0" w:type="dxa"/>
              <w:right w:w="0" w:type="dxa"/>
            </w:tcMar>
            <w:vAlign w:val="center"/>
          </w:tcPr>
          <w:p w14:paraId="502231F2">
            <w:pPr>
              <w:keepNext w:val="0"/>
              <w:keepLines w:val="0"/>
              <w:pageBreakBefore w:val="0"/>
              <w:widowControl w:val="0"/>
              <w:kinsoku/>
              <w:wordWrap/>
              <w:overflowPunct/>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电动车辆传导充电系统</w:t>
            </w:r>
            <w:r>
              <w:rPr>
                <w:rFonts w:hint="eastAsia" w:ascii="宋体" w:hAnsi="宋体" w:eastAsia="宋体" w:cs="宋体"/>
                <w:sz w:val="24"/>
                <w:szCs w:val="24"/>
              </w:rPr>
              <w:t>　</w:t>
            </w:r>
            <w:r>
              <w:rPr>
                <w:rFonts w:hint="eastAsia" w:ascii="宋体" w:hAnsi="宋体" w:eastAsia="宋体" w:cs="宋体"/>
                <w:sz w:val="24"/>
                <w:szCs w:val="24"/>
              </w:rPr>
              <w:t>一般要求</w:t>
            </w:r>
          </w:p>
        </w:tc>
      </w:tr>
      <w:tr w14:paraId="506E6B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2145" w:type="dxa"/>
            <w:tcMar>
              <w:left w:w="0" w:type="dxa"/>
              <w:right w:w="0" w:type="dxa"/>
            </w:tcMar>
            <w:vAlign w:val="center"/>
          </w:tcPr>
          <w:p w14:paraId="6925EA4D">
            <w:pPr>
              <w:keepNext w:val="0"/>
              <w:keepLines w:val="0"/>
              <w:pageBreakBefore w:val="0"/>
              <w:widowControl w:val="0"/>
              <w:kinsoku/>
              <w:wordWrap/>
              <w:overflowPunct/>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GB/T 18487.</w:t>
            </w:r>
            <w:r>
              <w:rPr>
                <w:rFonts w:hint="eastAsia" w:ascii="宋体" w:hAnsi="宋体" w:eastAsia="宋体" w:cs="宋体"/>
                <w:sz w:val="24"/>
                <w:szCs w:val="24"/>
              </w:rPr>
              <w:t>2-2017</w:t>
            </w:r>
          </w:p>
        </w:tc>
        <w:tc>
          <w:tcPr>
            <w:tcW w:w="7614" w:type="dxa"/>
            <w:tcMar>
              <w:left w:w="0" w:type="dxa"/>
              <w:right w:w="0" w:type="dxa"/>
            </w:tcMar>
            <w:vAlign w:val="center"/>
          </w:tcPr>
          <w:p w14:paraId="6D26B48E">
            <w:pPr>
              <w:keepNext w:val="0"/>
              <w:keepLines w:val="0"/>
              <w:pageBreakBefore w:val="0"/>
              <w:widowControl w:val="0"/>
              <w:kinsoku/>
              <w:wordWrap/>
              <w:overflowPunct/>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电动车辆传导充电系统</w:t>
            </w:r>
            <w:r>
              <w:rPr>
                <w:rFonts w:hint="eastAsia" w:ascii="宋体" w:hAnsi="宋体" w:eastAsia="宋体" w:cs="宋体"/>
                <w:sz w:val="24"/>
                <w:szCs w:val="24"/>
              </w:rPr>
              <w:t>　第二部分：非车载传导供电设备电磁兼容要求</w:t>
            </w:r>
          </w:p>
        </w:tc>
      </w:tr>
      <w:tr w14:paraId="7B31D6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2145" w:type="dxa"/>
            <w:tcMar>
              <w:left w:w="0" w:type="dxa"/>
              <w:right w:w="0" w:type="dxa"/>
            </w:tcMar>
            <w:vAlign w:val="center"/>
          </w:tcPr>
          <w:p w14:paraId="1C74C641">
            <w:pPr>
              <w:keepNext w:val="0"/>
              <w:keepLines w:val="0"/>
              <w:pageBreakBefore w:val="0"/>
              <w:widowControl w:val="0"/>
              <w:kinsoku/>
              <w:wordWrap/>
              <w:overflowPunct/>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GB/T 34657.1-2017</w:t>
            </w:r>
          </w:p>
        </w:tc>
        <w:tc>
          <w:tcPr>
            <w:tcW w:w="7614" w:type="dxa"/>
            <w:tcMar>
              <w:left w:w="0" w:type="dxa"/>
              <w:right w:w="0" w:type="dxa"/>
            </w:tcMar>
            <w:vAlign w:val="center"/>
          </w:tcPr>
          <w:p w14:paraId="4C0852FE">
            <w:pPr>
              <w:keepNext w:val="0"/>
              <w:keepLines w:val="0"/>
              <w:pageBreakBefore w:val="0"/>
              <w:widowControl w:val="0"/>
              <w:kinsoku/>
              <w:wordWrap/>
              <w:overflowPunct/>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电动汽车传导充电互操作性测试规范  第一部分</w:t>
            </w:r>
            <w:r>
              <w:rPr>
                <w:rFonts w:hint="eastAsia" w:ascii="宋体" w:hAnsi="宋体" w:eastAsia="宋体" w:cs="宋体"/>
                <w:sz w:val="24"/>
                <w:szCs w:val="24"/>
              </w:rPr>
              <w:t>:</w:t>
            </w:r>
            <w:r>
              <w:rPr>
                <w:rFonts w:hint="eastAsia" w:ascii="宋体" w:hAnsi="宋体" w:eastAsia="宋体" w:cs="宋体"/>
                <w:sz w:val="24"/>
                <w:szCs w:val="24"/>
              </w:rPr>
              <w:t xml:space="preserve"> 供电设备</w:t>
            </w:r>
          </w:p>
        </w:tc>
      </w:tr>
      <w:tr w14:paraId="1B7EC0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2145" w:type="dxa"/>
            <w:tcMar>
              <w:left w:w="0" w:type="dxa"/>
              <w:right w:w="0" w:type="dxa"/>
            </w:tcMar>
            <w:vAlign w:val="center"/>
          </w:tcPr>
          <w:p w14:paraId="10AC1C44">
            <w:pPr>
              <w:keepNext w:val="0"/>
              <w:keepLines w:val="0"/>
              <w:pageBreakBefore w:val="0"/>
              <w:widowControl w:val="0"/>
              <w:kinsoku/>
              <w:wordWrap/>
              <w:overflowPunct/>
              <w:autoSpaceDE/>
              <w:autoSpaceDN/>
              <w:bidi w:val="0"/>
              <w:adjustRightInd/>
              <w:snapToGrid/>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GB/T 20234.1-20</w:t>
            </w:r>
            <w:r>
              <w:rPr>
                <w:rFonts w:hint="eastAsia" w:ascii="宋体" w:hAnsi="宋体" w:eastAsia="宋体" w:cs="宋体"/>
                <w:sz w:val="24"/>
                <w:szCs w:val="24"/>
                <w:lang w:val="en-US" w:eastAsia="zh-CN"/>
              </w:rPr>
              <w:t>23</w:t>
            </w:r>
          </w:p>
        </w:tc>
        <w:tc>
          <w:tcPr>
            <w:tcW w:w="7614" w:type="dxa"/>
            <w:tcMar>
              <w:left w:w="0" w:type="dxa"/>
              <w:right w:w="0" w:type="dxa"/>
            </w:tcMar>
            <w:vAlign w:val="center"/>
          </w:tcPr>
          <w:p w14:paraId="50E79267">
            <w:pPr>
              <w:keepNext w:val="0"/>
              <w:keepLines w:val="0"/>
              <w:pageBreakBefore w:val="0"/>
              <w:widowControl w:val="0"/>
              <w:kinsoku/>
              <w:wordWrap/>
              <w:overflowPunct/>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电动汽车传导充电连接装置　第1部分：通用要求</w:t>
            </w:r>
          </w:p>
        </w:tc>
      </w:tr>
      <w:tr w14:paraId="1149FD8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2145" w:type="dxa"/>
            <w:tcMar>
              <w:left w:w="0" w:type="dxa"/>
              <w:right w:w="0" w:type="dxa"/>
            </w:tcMar>
            <w:vAlign w:val="center"/>
          </w:tcPr>
          <w:p w14:paraId="27986A33">
            <w:pPr>
              <w:keepNext w:val="0"/>
              <w:keepLines w:val="0"/>
              <w:pageBreakBefore w:val="0"/>
              <w:widowControl w:val="0"/>
              <w:kinsoku/>
              <w:wordWrap/>
              <w:overflowPunct/>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GB/T 20234.2-2015</w:t>
            </w:r>
          </w:p>
        </w:tc>
        <w:tc>
          <w:tcPr>
            <w:tcW w:w="7614" w:type="dxa"/>
            <w:tcMar>
              <w:left w:w="0" w:type="dxa"/>
              <w:right w:w="0" w:type="dxa"/>
            </w:tcMar>
            <w:vAlign w:val="center"/>
          </w:tcPr>
          <w:p w14:paraId="586A02CE">
            <w:pPr>
              <w:keepNext w:val="0"/>
              <w:keepLines w:val="0"/>
              <w:pageBreakBefore w:val="0"/>
              <w:widowControl w:val="0"/>
              <w:kinsoku/>
              <w:wordWrap/>
              <w:overflowPunct/>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电动汽车传导充电连接装置　第2部分：交流充电接口</w:t>
            </w:r>
          </w:p>
        </w:tc>
      </w:tr>
      <w:tr w14:paraId="6CA9B4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2145" w:type="dxa"/>
            <w:tcMar>
              <w:left w:w="0" w:type="dxa"/>
              <w:right w:w="0" w:type="dxa"/>
            </w:tcMar>
            <w:vAlign w:val="center"/>
          </w:tcPr>
          <w:p w14:paraId="26C2B376">
            <w:pPr>
              <w:keepNext w:val="0"/>
              <w:keepLines w:val="0"/>
              <w:pageBreakBefore w:val="0"/>
              <w:widowControl w:val="0"/>
              <w:kinsoku/>
              <w:wordWrap/>
              <w:overflowPunct/>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NB/T 33002-2018</w:t>
            </w:r>
          </w:p>
        </w:tc>
        <w:tc>
          <w:tcPr>
            <w:tcW w:w="7614" w:type="dxa"/>
            <w:tcMar>
              <w:left w:w="0" w:type="dxa"/>
              <w:right w:w="0" w:type="dxa"/>
            </w:tcMar>
            <w:vAlign w:val="center"/>
          </w:tcPr>
          <w:p w14:paraId="57A66023">
            <w:pPr>
              <w:keepNext w:val="0"/>
              <w:keepLines w:val="0"/>
              <w:pageBreakBefore w:val="0"/>
              <w:widowControl w:val="0"/>
              <w:kinsoku/>
              <w:wordWrap/>
              <w:overflowPunct/>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交流充电桩技术条件</w:t>
            </w:r>
          </w:p>
        </w:tc>
      </w:tr>
      <w:tr w14:paraId="168013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2145" w:type="dxa"/>
            <w:tcMar>
              <w:left w:w="0" w:type="dxa"/>
              <w:right w:w="0" w:type="dxa"/>
            </w:tcMar>
            <w:vAlign w:val="center"/>
          </w:tcPr>
          <w:p w14:paraId="31106FCF">
            <w:pPr>
              <w:keepNext w:val="0"/>
              <w:keepLines w:val="0"/>
              <w:pageBreakBefore w:val="0"/>
              <w:widowControl w:val="0"/>
              <w:kinsoku/>
              <w:wordWrap/>
              <w:overflowPunct/>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GB/T20234.3-2015</w:t>
            </w:r>
          </w:p>
        </w:tc>
        <w:tc>
          <w:tcPr>
            <w:tcW w:w="7614" w:type="dxa"/>
            <w:tcMar>
              <w:left w:w="0" w:type="dxa"/>
              <w:right w:w="0" w:type="dxa"/>
            </w:tcMar>
            <w:vAlign w:val="center"/>
          </w:tcPr>
          <w:p w14:paraId="7AEF17B7">
            <w:pPr>
              <w:keepNext w:val="0"/>
              <w:keepLines w:val="0"/>
              <w:pageBreakBefore w:val="0"/>
              <w:widowControl w:val="0"/>
              <w:kinsoku/>
              <w:wordWrap/>
              <w:overflowPunct/>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电动汽车传导充电用连接装置第</w:t>
            </w:r>
            <w:r>
              <w:rPr>
                <w:rFonts w:hint="eastAsia" w:ascii="宋体" w:hAnsi="宋体" w:eastAsia="宋体" w:cs="宋体"/>
                <w:sz w:val="24"/>
                <w:szCs w:val="24"/>
              </w:rPr>
              <w:t xml:space="preserve"> 3 </w:t>
            </w:r>
            <w:r>
              <w:rPr>
                <w:rFonts w:hint="eastAsia" w:ascii="宋体" w:hAnsi="宋体" w:eastAsia="宋体" w:cs="宋体"/>
                <w:sz w:val="24"/>
                <w:szCs w:val="24"/>
              </w:rPr>
              <w:t>部分：直流充电接口</w:t>
            </w:r>
          </w:p>
        </w:tc>
      </w:tr>
      <w:tr w14:paraId="6ED3447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2145" w:type="dxa"/>
            <w:tcMar>
              <w:left w:w="0" w:type="dxa"/>
              <w:right w:w="0" w:type="dxa"/>
            </w:tcMar>
            <w:vAlign w:val="center"/>
          </w:tcPr>
          <w:p w14:paraId="10A45C59">
            <w:pPr>
              <w:keepNext w:val="0"/>
              <w:keepLines w:val="0"/>
              <w:pageBreakBefore w:val="0"/>
              <w:widowControl w:val="0"/>
              <w:kinsoku/>
              <w:wordWrap/>
              <w:overflowPunct/>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GB/T27930-2015</w:t>
            </w:r>
          </w:p>
        </w:tc>
        <w:tc>
          <w:tcPr>
            <w:tcW w:w="7614" w:type="dxa"/>
            <w:tcMar>
              <w:left w:w="0" w:type="dxa"/>
              <w:right w:w="0" w:type="dxa"/>
            </w:tcMar>
            <w:vAlign w:val="center"/>
          </w:tcPr>
          <w:p w14:paraId="46EDE142">
            <w:pPr>
              <w:keepNext w:val="0"/>
              <w:keepLines w:val="0"/>
              <w:pageBreakBefore w:val="0"/>
              <w:widowControl w:val="0"/>
              <w:kinsoku/>
              <w:wordWrap/>
              <w:overflowPunct/>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电动汽车非车载传导充电机和电池管理系统之间的通信协议</w:t>
            </w:r>
          </w:p>
        </w:tc>
      </w:tr>
      <w:tr w14:paraId="21C88E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2145" w:type="dxa"/>
            <w:tcMar>
              <w:left w:w="0" w:type="dxa"/>
              <w:right w:w="0" w:type="dxa"/>
            </w:tcMar>
            <w:vAlign w:val="center"/>
          </w:tcPr>
          <w:p w14:paraId="3C253014">
            <w:pPr>
              <w:keepNext w:val="0"/>
              <w:keepLines w:val="0"/>
              <w:pageBreakBefore w:val="0"/>
              <w:widowControl w:val="0"/>
              <w:kinsoku/>
              <w:wordWrap/>
              <w:overflowPunct/>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NB/T 33001-2018</w:t>
            </w:r>
          </w:p>
        </w:tc>
        <w:tc>
          <w:tcPr>
            <w:tcW w:w="7614" w:type="dxa"/>
            <w:tcMar>
              <w:left w:w="0" w:type="dxa"/>
              <w:right w:w="0" w:type="dxa"/>
            </w:tcMar>
            <w:vAlign w:val="center"/>
          </w:tcPr>
          <w:p w14:paraId="78C2870E">
            <w:pPr>
              <w:keepNext w:val="0"/>
              <w:keepLines w:val="0"/>
              <w:pageBreakBefore w:val="0"/>
              <w:widowControl w:val="0"/>
              <w:kinsoku/>
              <w:wordWrap/>
              <w:overflowPunct/>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电动汽车非车载传导式充电机技术条件</w:t>
            </w:r>
          </w:p>
        </w:tc>
      </w:tr>
      <w:tr w14:paraId="4390DC9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2145" w:type="dxa"/>
            <w:tcMar>
              <w:left w:w="0" w:type="dxa"/>
              <w:right w:w="0" w:type="dxa"/>
            </w:tcMar>
            <w:vAlign w:val="center"/>
          </w:tcPr>
          <w:p w14:paraId="31CD9104">
            <w:pPr>
              <w:keepNext w:val="0"/>
              <w:keepLines w:val="0"/>
              <w:pageBreakBefore w:val="0"/>
              <w:widowControl w:val="0"/>
              <w:kinsoku/>
              <w:wordWrap/>
              <w:overflowPunct/>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NB/T 33008.1-2018</w:t>
            </w:r>
          </w:p>
        </w:tc>
        <w:tc>
          <w:tcPr>
            <w:tcW w:w="7614" w:type="dxa"/>
            <w:tcMar>
              <w:left w:w="0" w:type="dxa"/>
              <w:right w:w="0" w:type="dxa"/>
            </w:tcMar>
            <w:vAlign w:val="center"/>
          </w:tcPr>
          <w:p w14:paraId="79E90AC7">
            <w:pPr>
              <w:keepNext w:val="0"/>
              <w:keepLines w:val="0"/>
              <w:pageBreakBefore w:val="0"/>
              <w:widowControl w:val="0"/>
              <w:kinsoku/>
              <w:wordWrap/>
              <w:overflowPunct/>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电动汽车充电设备检验试验规范</w:t>
            </w:r>
            <w:r>
              <w:rPr>
                <w:rFonts w:hint="eastAsia" w:ascii="宋体" w:hAnsi="宋体" w:eastAsia="宋体" w:cs="宋体"/>
                <w:sz w:val="24"/>
                <w:szCs w:val="24"/>
              </w:rPr>
              <w:t xml:space="preserve"> </w:t>
            </w:r>
            <w:r>
              <w:rPr>
                <w:rFonts w:hint="eastAsia" w:ascii="宋体" w:hAnsi="宋体" w:eastAsia="宋体" w:cs="宋体"/>
                <w:sz w:val="24"/>
                <w:szCs w:val="24"/>
              </w:rPr>
              <w:t>第</w:t>
            </w:r>
            <w:r>
              <w:rPr>
                <w:rFonts w:hint="eastAsia" w:ascii="宋体" w:hAnsi="宋体" w:eastAsia="宋体" w:cs="宋体"/>
                <w:sz w:val="24"/>
                <w:szCs w:val="24"/>
              </w:rPr>
              <w:t xml:space="preserve"> 1 </w:t>
            </w:r>
            <w:r>
              <w:rPr>
                <w:rFonts w:hint="eastAsia" w:ascii="宋体" w:hAnsi="宋体" w:eastAsia="宋体" w:cs="宋体"/>
                <w:sz w:val="24"/>
                <w:szCs w:val="24"/>
              </w:rPr>
              <w:t>部分：非车载充电机</w:t>
            </w:r>
          </w:p>
        </w:tc>
      </w:tr>
      <w:tr w14:paraId="5E9037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2145" w:type="dxa"/>
            <w:tcMar>
              <w:left w:w="0" w:type="dxa"/>
              <w:right w:w="0" w:type="dxa"/>
            </w:tcMar>
            <w:vAlign w:val="center"/>
          </w:tcPr>
          <w:p w14:paraId="5E2D1150">
            <w:pPr>
              <w:keepNext w:val="0"/>
              <w:keepLines w:val="0"/>
              <w:pageBreakBefore w:val="0"/>
              <w:widowControl w:val="0"/>
              <w:kinsoku/>
              <w:wordWrap/>
              <w:overflowPunct/>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JJG 1149—2018</w:t>
            </w:r>
          </w:p>
        </w:tc>
        <w:tc>
          <w:tcPr>
            <w:tcW w:w="7614" w:type="dxa"/>
            <w:tcMar>
              <w:left w:w="0" w:type="dxa"/>
              <w:right w:w="0" w:type="dxa"/>
            </w:tcMar>
            <w:vAlign w:val="center"/>
          </w:tcPr>
          <w:p w14:paraId="78E37A18">
            <w:pPr>
              <w:keepNext w:val="0"/>
              <w:keepLines w:val="0"/>
              <w:pageBreakBefore w:val="0"/>
              <w:widowControl w:val="0"/>
              <w:kinsoku/>
              <w:wordWrap/>
              <w:overflowPunct/>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电动汽车非车载充电机</w:t>
            </w:r>
          </w:p>
        </w:tc>
      </w:tr>
    </w:tbl>
    <w:p w14:paraId="213B2DC1">
      <w:pPr>
        <w:pStyle w:val="9"/>
        <w:spacing w:before="0" w:after="0" w:line="360" w:lineRule="auto"/>
        <w:rPr>
          <w:rFonts w:hint="eastAsia" w:ascii="宋体" w:hAnsi="宋体" w:eastAsia="宋体" w:cs="宋体"/>
        </w:rPr>
      </w:pPr>
      <w:r>
        <w:rPr>
          <w:rFonts w:hint="eastAsia" w:ascii="宋体" w:hAnsi="宋体" w:eastAsia="宋体" w:cs="宋体"/>
        </w:rPr>
        <w:t xml:space="preserve">2.2 </w:t>
      </w:r>
      <w:r>
        <w:rPr>
          <w:rFonts w:hint="eastAsia" w:ascii="宋体" w:hAnsi="宋体" w:eastAsia="宋体" w:cs="宋体"/>
        </w:rPr>
        <w:t>需随设备提供的资料</w:t>
      </w:r>
    </w:p>
    <w:p w14:paraId="054263BC">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投标方应免费随设备提供给招标方</w:t>
      </w:r>
      <w:r>
        <w:rPr>
          <w:rFonts w:hint="eastAsia" w:ascii="宋体" w:hAnsi="宋体" w:eastAsia="宋体" w:cs="宋体"/>
          <w:sz w:val="24"/>
          <w:szCs w:val="24"/>
        </w:rPr>
        <w:t>相关</w:t>
      </w:r>
      <w:r>
        <w:rPr>
          <w:rFonts w:hint="eastAsia" w:ascii="宋体" w:hAnsi="宋体" w:eastAsia="宋体" w:cs="宋体"/>
          <w:sz w:val="24"/>
          <w:szCs w:val="24"/>
        </w:rPr>
        <w:t>资料，包括设备及配套软件的安装手册、管理维护手册以及参数配置手册等。</w:t>
      </w:r>
    </w:p>
    <w:p w14:paraId="6FA8CC31">
      <w:pPr>
        <w:pStyle w:val="9"/>
        <w:spacing w:before="0" w:after="0" w:line="360" w:lineRule="auto"/>
        <w:rPr>
          <w:rFonts w:hint="eastAsia" w:ascii="宋体" w:hAnsi="宋体" w:eastAsia="宋体" w:cs="宋体"/>
        </w:rPr>
      </w:pPr>
      <w:r>
        <w:rPr>
          <w:rFonts w:hint="eastAsia" w:ascii="宋体" w:hAnsi="宋体" w:eastAsia="宋体" w:cs="宋体"/>
        </w:rPr>
        <w:t xml:space="preserve">2.3 </w:t>
      </w:r>
      <w:r>
        <w:rPr>
          <w:rFonts w:hint="eastAsia" w:ascii="宋体" w:hAnsi="宋体" w:eastAsia="宋体" w:cs="宋体"/>
        </w:rPr>
        <w:t>到货</w:t>
      </w:r>
      <w:r>
        <w:rPr>
          <w:rFonts w:hint="eastAsia" w:ascii="宋体" w:hAnsi="宋体" w:eastAsia="宋体" w:cs="宋体"/>
        </w:rPr>
        <w:t>及</w:t>
      </w:r>
      <w:r>
        <w:rPr>
          <w:rFonts w:hint="eastAsia" w:ascii="宋体" w:hAnsi="宋体" w:eastAsia="宋体" w:cs="宋体"/>
        </w:rPr>
        <w:t>验收</w:t>
      </w:r>
    </w:p>
    <w:p w14:paraId="30A59353">
      <w:pPr>
        <w:overflowPunct w:val="0"/>
        <w:topLinePunct/>
        <w:spacing w:line="360" w:lineRule="auto"/>
        <w:ind w:firstLine="480" w:firstLineChars="200"/>
        <w:rPr>
          <w:rFonts w:hint="eastAsia" w:ascii="宋体" w:hAnsi="宋体" w:eastAsia="宋体" w:cs="宋体"/>
          <w:sz w:val="24"/>
          <w:szCs w:val="24"/>
        </w:rPr>
      </w:pPr>
      <w:r>
        <w:rPr>
          <w:rStyle w:val="314"/>
          <w:rFonts w:hint="eastAsia" w:ascii="宋体" w:hAnsi="宋体" w:eastAsia="宋体" w:cs="宋体"/>
          <w:sz w:val="24"/>
          <w:szCs w:val="24"/>
        </w:rPr>
        <w:t>2.3.</w:t>
      </w:r>
      <w:r>
        <w:rPr>
          <w:rStyle w:val="314"/>
          <w:rFonts w:hint="eastAsia" w:ascii="宋体" w:hAnsi="宋体" w:eastAsia="宋体" w:cs="宋体"/>
          <w:sz w:val="24"/>
          <w:szCs w:val="24"/>
        </w:rPr>
        <w:t>1</w:t>
      </w:r>
      <w:r>
        <w:rPr>
          <w:rFonts w:hint="eastAsia" w:ascii="宋体" w:hAnsi="宋体" w:eastAsia="宋体" w:cs="宋体"/>
          <w:sz w:val="24"/>
          <w:szCs w:val="24"/>
        </w:rPr>
        <w:t>投标方负责将合同设备运送到招标方指定的安装、调试地点。</w:t>
      </w:r>
    </w:p>
    <w:p w14:paraId="27F40838">
      <w:pPr>
        <w:overflowPunct w:val="0"/>
        <w:topLinePunct/>
        <w:spacing w:line="360" w:lineRule="auto"/>
        <w:ind w:firstLine="480" w:firstLineChars="200"/>
        <w:rPr>
          <w:rFonts w:hint="eastAsia" w:ascii="宋体" w:hAnsi="宋体" w:eastAsia="宋体" w:cs="宋体"/>
          <w:sz w:val="24"/>
          <w:szCs w:val="24"/>
        </w:rPr>
      </w:pPr>
      <w:r>
        <w:rPr>
          <w:rStyle w:val="314"/>
          <w:rFonts w:hint="eastAsia" w:ascii="宋体" w:hAnsi="宋体" w:eastAsia="宋体" w:cs="宋体"/>
          <w:sz w:val="24"/>
          <w:szCs w:val="24"/>
        </w:rPr>
        <w:t>2.3</w:t>
      </w:r>
      <w:r>
        <w:rPr>
          <w:rStyle w:val="314"/>
          <w:rFonts w:hint="eastAsia" w:ascii="宋体" w:hAnsi="宋体" w:eastAsia="宋体" w:cs="宋体"/>
          <w:sz w:val="24"/>
          <w:szCs w:val="24"/>
        </w:rPr>
        <w:t>.2</w:t>
      </w:r>
      <w:r>
        <w:rPr>
          <w:rFonts w:hint="eastAsia" w:ascii="宋体" w:hAnsi="宋体" w:eastAsia="宋体" w:cs="宋体"/>
          <w:sz w:val="24"/>
          <w:szCs w:val="24"/>
        </w:rPr>
        <w:t>招标方依投标方在投标文件中的承诺对全部设备的型号、规格、数量、外形、外观、包装及资料、文件（包括装箱单、保修单、随箱介质等）等进行验收。</w:t>
      </w:r>
    </w:p>
    <w:p w14:paraId="753842D1">
      <w:pPr>
        <w:overflowPunct w:val="0"/>
        <w:topLinePunct/>
        <w:spacing w:line="360" w:lineRule="auto"/>
        <w:ind w:firstLine="480" w:firstLineChars="200"/>
        <w:rPr>
          <w:rFonts w:hint="eastAsia" w:ascii="宋体" w:hAnsi="宋体" w:eastAsia="宋体" w:cs="宋体"/>
          <w:sz w:val="24"/>
          <w:szCs w:val="24"/>
        </w:rPr>
      </w:pPr>
      <w:r>
        <w:rPr>
          <w:rStyle w:val="314"/>
          <w:rFonts w:hint="eastAsia" w:ascii="宋体" w:hAnsi="宋体" w:eastAsia="宋体" w:cs="宋体"/>
          <w:sz w:val="24"/>
          <w:szCs w:val="24"/>
        </w:rPr>
        <w:t>2.3</w:t>
      </w:r>
      <w:r>
        <w:rPr>
          <w:rStyle w:val="314"/>
          <w:rFonts w:hint="eastAsia" w:ascii="宋体" w:hAnsi="宋体" w:eastAsia="宋体" w:cs="宋体"/>
          <w:sz w:val="24"/>
          <w:szCs w:val="24"/>
        </w:rPr>
        <w:t>.3</w:t>
      </w:r>
      <w:r>
        <w:rPr>
          <w:rFonts w:hint="eastAsia" w:ascii="宋体" w:hAnsi="宋体" w:eastAsia="宋体" w:cs="宋体"/>
          <w:sz w:val="24"/>
          <w:szCs w:val="24"/>
        </w:rPr>
        <w:t>买卖双方对设备到货后共同配合进行开箱检查，出现损坏、数量不全或产品不对等问题时，由投标方负责解决。</w:t>
      </w:r>
    </w:p>
    <w:p w14:paraId="22407E75">
      <w:pPr>
        <w:overflowPunct w:val="0"/>
        <w:topLinePunct/>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2.3.4</w:t>
      </w:r>
      <w:r>
        <w:rPr>
          <w:rFonts w:hint="eastAsia" w:ascii="宋体" w:hAnsi="宋体" w:eastAsia="宋体" w:cs="宋体"/>
          <w:sz w:val="24"/>
          <w:szCs w:val="24"/>
        </w:rPr>
        <w:t xml:space="preserve"> 在招标方指定的地点和环境下，投标方负责对合同设备进行调试（所有部件</w:t>
      </w:r>
      <w:r>
        <w:rPr>
          <w:rFonts w:hint="eastAsia" w:ascii="宋体" w:hAnsi="宋体" w:eastAsia="宋体" w:cs="宋体"/>
          <w:sz w:val="24"/>
          <w:szCs w:val="24"/>
        </w:rPr>
        <w:t>模块</w:t>
      </w:r>
      <w:r>
        <w:rPr>
          <w:rFonts w:hint="eastAsia" w:ascii="宋体" w:hAnsi="宋体" w:eastAsia="宋体" w:cs="宋体"/>
          <w:sz w:val="24"/>
          <w:szCs w:val="24"/>
        </w:rPr>
        <w:t>的功能能够正常运行和使用），加电实现正常运行，并达到投标方在投标文件中承诺的技术指标和性能。</w:t>
      </w:r>
    </w:p>
    <w:p w14:paraId="1FCEA579">
      <w:pPr>
        <w:pStyle w:val="9"/>
        <w:spacing w:before="0" w:after="0" w:line="360" w:lineRule="auto"/>
        <w:rPr>
          <w:rFonts w:hint="eastAsia" w:ascii="宋体" w:hAnsi="宋体" w:eastAsia="宋体" w:cs="宋体"/>
        </w:rPr>
      </w:pPr>
      <w:r>
        <w:rPr>
          <w:rFonts w:hint="eastAsia" w:ascii="宋体" w:hAnsi="宋体" w:eastAsia="宋体" w:cs="宋体"/>
        </w:rPr>
        <w:t>2</w:t>
      </w:r>
      <w:r>
        <w:rPr>
          <w:rFonts w:hint="eastAsia" w:ascii="宋体" w:hAnsi="宋体" w:eastAsia="宋体" w:cs="宋体"/>
        </w:rPr>
        <w:t>.4</w:t>
      </w:r>
      <w:r>
        <w:rPr>
          <w:rFonts w:hint="eastAsia" w:ascii="宋体" w:hAnsi="宋体" w:eastAsia="宋体" w:cs="宋体"/>
        </w:rPr>
        <w:t>技术要求</w:t>
      </w:r>
    </w:p>
    <w:p w14:paraId="4C98DE29">
      <w:pPr>
        <w:overflowPunct w:val="0"/>
        <w:topLinePunct/>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2.4.1技术参数</w:t>
      </w:r>
    </w:p>
    <w:p w14:paraId="397601DA">
      <w:pPr>
        <w:overflowPunct w:val="0"/>
        <w:topLinePunct/>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2.4.1.1环</w:t>
      </w:r>
      <w:r>
        <w:rPr>
          <w:rStyle w:val="314"/>
          <w:rFonts w:hint="eastAsia" w:ascii="宋体" w:hAnsi="宋体" w:eastAsia="宋体" w:cs="宋体"/>
          <w:sz w:val="24"/>
          <w:szCs w:val="24"/>
        </w:rPr>
        <w:t>境条件</w:t>
      </w:r>
    </w:p>
    <w:p w14:paraId="449CC71A">
      <w:pPr>
        <w:tabs>
          <w:tab w:val="left" w:pos="1134"/>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2.4</w:t>
      </w:r>
      <w:r>
        <w:rPr>
          <w:rFonts w:hint="eastAsia" w:ascii="宋体" w:hAnsi="宋体" w:eastAsia="宋体" w:cs="宋体"/>
          <w:sz w:val="24"/>
          <w:szCs w:val="24"/>
        </w:rPr>
        <w:t>.1.1.1</w:t>
      </w:r>
      <w:r>
        <w:rPr>
          <w:rFonts w:hint="eastAsia" w:ascii="宋体" w:hAnsi="宋体" w:eastAsia="宋体" w:cs="宋体"/>
          <w:sz w:val="24"/>
          <w:szCs w:val="24"/>
        </w:rPr>
        <w:t>环境温度：-</w:t>
      </w:r>
      <w:r>
        <w:rPr>
          <w:rFonts w:hint="eastAsia" w:ascii="宋体" w:hAnsi="宋体" w:eastAsia="宋体" w:cs="宋体"/>
          <w:sz w:val="24"/>
          <w:szCs w:val="24"/>
        </w:rPr>
        <w:t>3</w:t>
      </w:r>
      <w:r>
        <w:rPr>
          <w:rFonts w:hint="eastAsia" w:ascii="宋体" w:hAnsi="宋体" w:eastAsia="宋体" w:cs="宋体"/>
          <w:sz w:val="24"/>
          <w:szCs w:val="24"/>
        </w:rPr>
        <w:t>0℃～</w:t>
      </w:r>
      <w:r>
        <w:rPr>
          <w:rFonts w:hint="eastAsia" w:ascii="宋体" w:hAnsi="宋体" w:eastAsia="宋体" w:cs="宋体"/>
          <w:sz w:val="24"/>
          <w:szCs w:val="24"/>
        </w:rPr>
        <w:t>6</w:t>
      </w:r>
      <w:r>
        <w:rPr>
          <w:rFonts w:hint="eastAsia" w:ascii="宋体" w:hAnsi="宋体" w:eastAsia="宋体" w:cs="宋体"/>
          <w:sz w:val="24"/>
          <w:szCs w:val="24"/>
        </w:rPr>
        <w:t>0℃；</w:t>
      </w:r>
    </w:p>
    <w:p w14:paraId="1A798DA9">
      <w:pPr>
        <w:tabs>
          <w:tab w:val="left" w:pos="1134"/>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2.4</w:t>
      </w:r>
      <w:r>
        <w:rPr>
          <w:rFonts w:hint="eastAsia" w:ascii="宋体" w:hAnsi="宋体" w:eastAsia="宋体" w:cs="宋体"/>
          <w:sz w:val="24"/>
          <w:szCs w:val="24"/>
        </w:rPr>
        <w:t>.1.1.2</w:t>
      </w:r>
      <w:r>
        <w:rPr>
          <w:rFonts w:hint="eastAsia" w:ascii="宋体" w:hAnsi="宋体" w:eastAsia="宋体" w:cs="宋体"/>
          <w:sz w:val="24"/>
          <w:szCs w:val="24"/>
        </w:rPr>
        <w:t>相对湿度：5％～95％；</w:t>
      </w:r>
    </w:p>
    <w:p w14:paraId="6DDC0858">
      <w:pPr>
        <w:tabs>
          <w:tab w:val="left" w:pos="1134"/>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2.4</w:t>
      </w:r>
      <w:r>
        <w:rPr>
          <w:rFonts w:hint="eastAsia" w:ascii="宋体" w:hAnsi="宋体" w:eastAsia="宋体" w:cs="宋体"/>
          <w:sz w:val="24"/>
          <w:szCs w:val="24"/>
        </w:rPr>
        <w:t>.1.1.3</w:t>
      </w:r>
      <w:r>
        <w:rPr>
          <w:rFonts w:hint="eastAsia" w:ascii="宋体" w:hAnsi="宋体" w:eastAsia="宋体" w:cs="宋体"/>
          <w:sz w:val="24"/>
          <w:szCs w:val="24"/>
        </w:rPr>
        <w:t>海拔高度：≤2000m；</w:t>
      </w:r>
    </w:p>
    <w:p w14:paraId="6832B1B4">
      <w:pPr>
        <w:tabs>
          <w:tab w:val="left" w:pos="1134"/>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2.4</w:t>
      </w:r>
      <w:r>
        <w:rPr>
          <w:rFonts w:hint="eastAsia" w:ascii="宋体" w:hAnsi="宋体" w:eastAsia="宋体" w:cs="宋体"/>
          <w:sz w:val="24"/>
          <w:szCs w:val="24"/>
        </w:rPr>
        <w:t>.1.1.3</w:t>
      </w:r>
      <w:r>
        <w:rPr>
          <w:rFonts w:hint="eastAsia" w:ascii="宋体" w:hAnsi="宋体" w:eastAsia="宋体" w:cs="宋体"/>
          <w:sz w:val="24"/>
          <w:szCs w:val="24"/>
        </w:rPr>
        <w:t>大气压强：</w:t>
      </w:r>
      <w:r>
        <w:rPr>
          <w:rFonts w:hint="eastAsia" w:ascii="宋体" w:hAnsi="宋体" w:eastAsia="宋体" w:cs="宋体"/>
          <w:sz w:val="24"/>
          <w:szCs w:val="24"/>
        </w:rPr>
        <w:t>80kPa</w:t>
      </w:r>
      <w:r>
        <w:rPr>
          <w:rFonts w:hint="eastAsia" w:ascii="宋体" w:hAnsi="宋体" w:eastAsia="宋体" w:cs="宋体"/>
          <w:sz w:val="24"/>
          <w:szCs w:val="24"/>
        </w:rPr>
        <w:t>～</w:t>
      </w:r>
      <w:r>
        <w:rPr>
          <w:rFonts w:hint="eastAsia" w:ascii="宋体" w:hAnsi="宋体" w:eastAsia="宋体" w:cs="宋体"/>
          <w:sz w:val="24"/>
          <w:szCs w:val="24"/>
        </w:rPr>
        <w:t>110kPa</w:t>
      </w:r>
      <w:r>
        <w:rPr>
          <w:rFonts w:hint="eastAsia" w:ascii="宋体" w:hAnsi="宋体" w:eastAsia="宋体" w:cs="宋体"/>
          <w:sz w:val="24"/>
          <w:szCs w:val="24"/>
        </w:rPr>
        <w:t>。</w:t>
      </w:r>
    </w:p>
    <w:p w14:paraId="2D52056D">
      <w:pPr>
        <w:tabs>
          <w:tab w:val="left" w:pos="315"/>
          <w:tab w:val="left" w:pos="1134"/>
        </w:tabs>
        <w:spacing w:line="360" w:lineRule="auto"/>
        <w:ind w:firstLine="480" w:firstLineChars="200"/>
        <w:rPr>
          <w:rStyle w:val="314"/>
          <w:rFonts w:hint="eastAsia" w:ascii="宋体" w:hAnsi="宋体" w:eastAsia="宋体" w:cs="宋体"/>
          <w:kern w:val="2"/>
          <w:sz w:val="24"/>
          <w:szCs w:val="24"/>
        </w:rPr>
      </w:pPr>
      <w:r>
        <w:rPr>
          <w:rFonts w:hint="eastAsia" w:ascii="宋体" w:hAnsi="宋体" w:eastAsia="宋体" w:cs="宋体"/>
          <w:sz w:val="24"/>
          <w:szCs w:val="24"/>
        </w:rPr>
        <w:t>2.4.1.2</w:t>
      </w:r>
      <w:r>
        <w:rPr>
          <w:rStyle w:val="314"/>
          <w:rFonts w:hint="eastAsia" w:ascii="宋体" w:hAnsi="宋体" w:eastAsia="宋体" w:cs="宋体"/>
          <w:sz w:val="24"/>
          <w:szCs w:val="24"/>
        </w:rPr>
        <w:t>电源条件</w:t>
      </w:r>
    </w:p>
    <w:p w14:paraId="71D9F2AA">
      <w:pPr>
        <w:tabs>
          <w:tab w:val="left" w:pos="1134"/>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2.4.1.2</w:t>
      </w:r>
      <w:r>
        <w:rPr>
          <w:rFonts w:hint="eastAsia" w:ascii="宋体" w:hAnsi="宋体" w:eastAsia="宋体" w:cs="宋体"/>
          <w:sz w:val="24"/>
          <w:szCs w:val="24"/>
        </w:rPr>
        <w:t>.1</w:t>
      </w:r>
      <w:r>
        <w:rPr>
          <w:rFonts w:hint="eastAsia" w:ascii="宋体" w:hAnsi="宋体" w:eastAsia="宋体" w:cs="宋体"/>
          <w:sz w:val="24"/>
          <w:szCs w:val="24"/>
        </w:rPr>
        <w:t>电源</w:t>
      </w:r>
      <w:r>
        <w:rPr>
          <w:rFonts w:hint="eastAsia" w:ascii="宋体" w:hAnsi="宋体" w:eastAsia="宋体" w:cs="宋体"/>
          <w:sz w:val="24"/>
          <w:szCs w:val="24"/>
        </w:rPr>
        <w:t>电压</w:t>
      </w:r>
      <w:r>
        <w:rPr>
          <w:rFonts w:hint="eastAsia" w:ascii="宋体" w:hAnsi="宋体" w:eastAsia="宋体" w:cs="宋体"/>
          <w:sz w:val="24"/>
          <w:szCs w:val="24"/>
        </w:rPr>
        <w:t>：单相220V±</w:t>
      </w:r>
      <w:r>
        <w:rPr>
          <w:rFonts w:hint="eastAsia" w:ascii="宋体" w:hAnsi="宋体" w:eastAsia="宋体" w:cs="宋体"/>
          <w:sz w:val="24"/>
          <w:szCs w:val="24"/>
        </w:rPr>
        <w:t>15</w:t>
      </w:r>
      <w:r>
        <w:rPr>
          <w:rFonts w:hint="eastAsia" w:ascii="宋体" w:hAnsi="宋体" w:eastAsia="宋体" w:cs="宋体"/>
          <w:sz w:val="24"/>
          <w:szCs w:val="24"/>
        </w:rPr>
        <w:t>％；</w:t>
      </w:r>
    </w:p>
    <w:p w14:paraId="2C9E3098">
      <w:pPr>
        <w:tabs>
          <w:tab w:val="left" w:pos="1134"/>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2.4.1.2</w:t>
      </w:r>
      <w:r>
        <w:rPr>
          <w:rFonts w:hint="eastAsia" w:ascii="宋体" w:hAnsi="宋体" w:eastAsia="宋体" w:cs="宋体"/>
          <w:sz w:val="24"/>
          <w:szCs w:val="24"/>
        </w:rPr>
        <w:t>.2</w:t>
      </w:r>
      <w:r>
        <w:rPr>
          <w:rFonts w:hint="eastAsia" w:ascii="宋体" w:hAnsi="宋体" w:eastAsia="宋体" w:cs="宋体"/>
          <w:sz w:val="24"/>
          <w:szCs w:val="24"/>
        </w:rPr>
        <w:t>电源频率：50Hz±1Hz。</w:t>
      </w:r>
    </w:p>
    <w:p w14:paraId="6745F6E8">
      <w:pPr>
        <w:pStyle w:val="7"/>
        <w:tabs>
          <w:tab w:val="left" w:pos="525"/>
          <w:tab w:val="left" w:pos="114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2.4.1.3</w:t>
      </w:r>
      <w:r>
        <w:rPr>
          <w:rStyle w:val="314"/>
          <w:rFonts w:hint="eastAsia" w:ascii="宋体" w:hAnsi="宋体" w:eastAsia="宋体" w:cs="宋体"/>
          <w:sz w:val="24"/>
          <w:szCs w:val="24"/>
        </w:rPr>
        <w:t>额定电压：</w:t>
      </w:r>
      <w:r>
        <w:rPr>
          <w:rFonts w:hint="eastAsia" w:ascii="宋体" w:hAnsi="宋体" w:eastAsia="宋体" w:cs="宋体"/>
          <w:sz w:val="24"/>
          <w:szCs w:val="24"/>
        </w:rPr>
        <w:t>单相220V。</w:t>
      </w:r>
    </w:p>
    <w:p w14:paraId="621CCC87">
      <w:pPr>
        <w:pStyle w:val="7"/>
        <w:tabs>
          <w:tab w:val="left" w:pos="525"/>
          <w:tab w:val="left" w:pos="114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2.4.1.4</w:t>
      </w:r>
      <w:r>
        <w:rPr>
          <w:rStyle w:val="314"/>
          <w:rFonts w:hint="eastAsia" w:ascii="宋体" w:hAnsi="宋体" w:eastAsia="宋体" w:cs="宋体"/>
          <w:sz w:val="24"/>
          <w:szCs w:val="24"/>
        </w:rPr>
        <w:t>额定电流：</w:t>
      </w:r>
      <w:r>
        <w:rPr>
          <w:rFonts w:hint="eastAsia" w:ascii="宋体" w:hAnsi="宋体" w:eastAsia="宋体" w:cs="宋体"/>
          <w:sz w:val="24"/>
          <w:szCs w:val="24"/>
        </w:rPr>
        <w:t>32</w:t>
      </w:r>
      <w:r>
        <w:rPr>
          <w:rFonts w:hint="eastAsia" w:ascii="宋体" w:hAnsi="宋体" w:eastAsia="宋体" w:cs="宋体"/>
          <w:sz w:val="24"/>
          <w:szCs w:val="24"/>
        </w:rPr>
        <w:t>A</w:t>
      </w:r>
      <w:r>
        <w:rPr>
          <w:rFonts w:hint="eastAsia" w:ascii="宋体" w:hAnsi="宋体" w:eastAsia="宋体" w:cs="宋体"/>
          <w:sz w:val="24"/>
          <w:szCs w:val="24"/>
        </w:rPr>
        <w:t>；</w:t>
      </w:r>
    </w:p>
    <w:p w14:paraId="1FF08681">
      <w:pPr>
        <w:pStyle w:val="7"/>
        <w:tabs>
          <w:tab w:val="left" w:pos="525"/>
          <w:tab w:val="left" w:pos="1140"/>
        </w:tabs>
        <w:spacing w:line="360" w:lineRule="auto"/>
        <w:ind w:firstLine="480" w:firstLineChars="200"/>
        <w:rPr>
          <w:rStyle w:val="314"/>
          <w:rFonts w:hint="eastAsia" w:ascii="宋体" w:hAnsi="宋体" w:eastAsia="宋体" w:cs="宋体"/>
          <w:sz w:val="24"/>
          <w:szCs w:val="24"/>
        </w:rPr>
      </w:pPr>
      <w:r>
        <w:rPr>
          <w:rFonts w:hint="eastAsia" w:ascii="宋体" w:hAnsi="宋体" w:eastAsia="宋体" w:cs="宋体"/>
          <w:sz w:val="24"/>
          <w:szCs w:val="24"/>
        </w:rPr>
        <w:t>2.4.1.5</w:t>
      </w:r>
      <w:r>
        <w:rPr>
          <w:rStyle w:val="314"/>
          <w:rFonts w:hint="eastAsia" w:ascii="宋体" w:hAnsi="宋体" w:eastAsia="宋体" w:cs="宋体"/>
          <w:sz w:val="24"/>
          <w:szCs w:val="24"/>
        </w:rPr>
        <w:t>结构形式</w:t>
      </w:r>
    </w:p>
    <w:p w14:paraId="46D7E454">
      <w:pPr>
        <w:tabs>
          <w:tab w:val="left" w:pos="1134"/>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2.4.1.5</w:t>
      </w:r>
      <w:r>
        <w:rPr>
          <w:rFonts w:hint="eastAsia" w:ascii="宋体" w:hAnsi="宋体" w:eastAsia="宋体" w:cs="宋体"/>
          <w:sz w:val="24"/>
          <w:szCs w:val="24"/>
        </w:rPr>
        <w:t>.1</w:t>
      </w:r>
      <w:r>
        <w:rPr>
          <w:rFonts w:hint="eastAsia" w:ascii="宋体" w:hAnsi="宋体" w:eastAsia="宋体" w:cs="宋体"/>
          <w:sz w:val="24"/>
          <w:szCs w:val="24"/>
        </w:rPr>
        <w:t>落地式充电桩：桩体采用落地安装方式；</w:t>
      </w:r>
    </w:p>
    <w:p w14:paraId="5282752A">
      <w:pPr>
        <w:tabs>
          <w:tab w:val="left" w:pos="1134"/>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2.4.1.5</w:t>
      </w:r>
      <w:r>
        <w:rPr>
          <w:rFonts w:hint="eastAsia" w:ascii="宋体" w:hAnsi="宋体" w:eastAsia="宋体" w:cs="宋体"/>
          <w:sz w:val="24"/>
          <w:szCs w:val="24"/>
        </w:rPr>
        <w:t>.2</w:t>
      </w:r>
      <w:r>
        <w:rPr>
          <w:rFonts w:hint="eastAsia" w:ascii="宋体" w:hAnsi="宋体" w:eastAsia="宋体" w:cs="宋体"/>
          <w:sz w:val="24"/>
          <w:szCs w:val="24"/>
        </w:rPr>
        <w:t>壁挂式充电桩：桩体采用壁挂安装方式。</w:t>
      </w:r>
    </w:p>
    <w:p w14:paraId="050C9E06">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2.4.1.6</w:t>
      </w:r>
      <w:r>
        <w:rPr>
          <w:rFonts w:hint="eastAsia" w:ascii="宋体" w:hAnsi="宋体" w:eastAsia="宋体" w:cs="宋体"/>
        </w:rPr>
        <w:t>输出形式：</w:t>
      </w:r>
      <w:r>
        <w:rPr>
          <w:rFonts w:hint="eastAsia" w:ascii="宋体" w:hAnsi="宋体" w:eastAsia="宋体" w:cs="宋体"/>
          <w:sz w:val="24"/>
          <w:szCs w:val="24"/>
        </w:rPr>
        <w:t>每台交流</w:t>
      </w:r>
      <w:r>
        <w:rPr>
          <w:rFonts w:hint="eastAsia" w:ascii="宋体" w:hAnsi="宋体" w:eastAsia="宋体" w:cs="宋体"/>
          <w:sz w:val="24"/>
          <w:szCs w:val="24"/>
        </w:rPr>
        <w:t>充电桩</w:t>
      </w:r>
      <w:r>
        <w:rPr>
          <w:rFonts w:hint="eastAsia" w:ascii="宋体" w:hAnsi="宋体" w:eastAsia="宋体" w:cs="宋体"/>
          <w:sz w:val="24"/>
          <w:szCs w:val="24"/>
        </w:rPr>
        <w:t>应</w:t>
      </w:r>
      <w:r>
        <w:rPr>
          <w:rFonts w:hint="eastAsia" w:ascii="宋体" w:hAnsi="宋体" w:eastAsia="宋体" w:cs="宋体"/>
          <w:sz w:val="24"/>
          <w:szCs w:val="24"/>
        </w:rPr>
        <w:t>配置1套</w:t>
      </w:r>
      <w:r>
        <w:rPr>
          <w:rFonts w:hint="eastAsia" w:ascii="宋体" w:hAnsi="宋体" w:eastAsia="宋体" w:cs="宋体"/>
          <w:sz w:val="24"/>
          <w:szCs w:val="24"/>
        </w:rPr>
        <w:t>符合最新国家标准要求的交</w:t>
      </w:r>
      <w:r>
        <w:rPr>
          <w:rFonts w:hint="eastAsia" w:ascii="宋体" w:hAnsi="宋体" w:eastAsia="宋体" w:cs="宋体"/>
          <w:sz w:val="24"/>
          <w:szCs w:val="24"/>
        </w:rPr>
        <w:t>流充电</w:t>
      </w:r>
      <w:r>
        <w:rPr>
          <w:rFonts w:hint="eastAsia" w:ascii="宋体" w:hAnsi="宋体" w:eastAsia="宋体" w:cs="宋体"/>
          <w:sz w:val="24"/>
          <w:szCs w:val="24"/>
        </w:rPr>
        <w:t>枪。</w:t>
      </w:r>
    </w:p>
    <w:p w14:paraId="64488A33">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2.4.2</w:t>
      </w:r>
      <w:r>
        <w:rPr>
          <w:rFonts w:hint="eastAsia" w:ascii="宋体" w:hAnsi="宋体" w:eastAsia="宋体" w:cs="宋体"/>
          <w:sz w:val="24"/>
          <w:szCs w:val="24"/>
        </w:rPr>
        <w:t>功能要求</w:t>
      </w:r>
    </w:p>
    <w:p w14:paraId="47AA27BF">
      <w:pPr>
        <w:pStyle w:val="7"/>
        <w:tabs>
          <w:tab w:val="left" w:pos="525"/>
          <w:tab w:val="left" w:pos="1134"/>
        </w:tabs>
        <w:spacing w:line="360" w:lineRule="auto"/>
        <w:ind w:firstLine="480" w:firstLineChars="200"/>
        <w:rPr>
          <w:rFonts w:hint="eastAsia" w:ascii="宋体" w:hAnsi="宋体" w:eastAsia="宋体" w:cs="宋体"/>
          <w:sz w:val="24"/>
          <w:szCs w:val="24"/>
          <w:highlight w:val="none"/>
        </w:rPr>
      </w:pPr>
      <w:r>
        <w:rPr>
          <w:rStyle w:val="314"/>
          <w:rFonts w:hint="eastAsia" w:ascii="宋体" w:hAnsi="宋体" w:eastAsia="宋体" w:cs="宋体"/>
          <w:sz w:val="24"/>
          <w:szCs w:val="24"/>
          <w:highlight w:val="none"/>
        </w:rPr>
        <w:t>2</w:t>
      </w:r>
      <w:r>
        <w:rPr>
          <w:rStyle w:val="314"/>
          <w:rFonts w:hint="eastAsia" w:ascii="宋体" w:hAnsi="宋体" w:eastAsia="宋体" w:cs="宋体"/>
          <w:sz w:val="24"/>
          <w:szCs w:val="24"/>
          <w:highlight w:val="none"/>
        </w:rPr>
        <w:t>.4.2.1</w:t>
      </w:r>
      <w:bookmarkStart w:id="0" w:name="OLE_LINK1"/>
      <w:r>
        <w:rPr>
          <w:rStyle w:val="314"/>
          <w:rFonts w:hint="eastAsia" w:ascii="宋体" w:hAnsi="宋体" w:eastAsia="宋体" w:cs="宋体"/>
          <w:sz w:val="24"/>
          <w:szCs w:val="24"/>
          <w:highlight w:val="none"/>
        </w:rPr>
        <w:t>计量功能：</w:t>
      </w:r>
      <w:r>
        <w:rPr>
          <w:rFonts w:hint="eastAsia" w:ascii="宋体" w:hAnsi="宋体" w:eastAsia="宋体" w:cs="宋体"/>
          <w:sz w:val="24"/>
          <w:szCs w:val="24"/>
          <w:highlight w:val="none"/>
        </w:rPr>
        <w:t>充电机</w:t>
      </w:r>
      <w:r>
        <w:rPr>
          <w:rFonts w:hint="eastAsia" w:ascii="宋体" w:hAnsi="宋体" w:eastAsia="宋体" w:cs="宋体"/>
          <w:sz w:val="24"/>
          <w:szCs w:val="24"/>
          <w:highlight w:val="none"/>
        </w:rPr>
        <w:t>应具有板载计量的功能，计量精度</w:t>
      </w:r>
      <w:r>
        <w:rPr>
          <w:rFonts w:hint="eastAsia" w:ascii="宋体" w:hAnsi="宋体" w:eastAsia="宋体" w:cs="宋体"/>
          <w:sz w:val="24"/>
          <w:szCs w:val="24"/>
          <w:highlight w:val="none"/>
        </w:rPr>
        <w:t>满足</w:t>
      </w:r>
      <w:r>
        <w:rPr>
          <w:rFonts w:hint="eastAsia" w:ascii="宋体" w:hAnsi="宋体" w:eastAsia="宋体" w:cs="宋体"/>
          <w:sz w:val="24"/>
          <w:szCs w:val="24"/>
          <w:highlight w:val="none"/>
        </w:rPr>
        <w:t>JJG 1148-2022《电动汽车交流充电桩(试行)》</w:t>
      </w:r>
      <w:r>
        <w:rPr>
          <w:rFonts w:hint="eastAsia" w:ascii="宋体" w:hAnsi="宋体" w:eastAsia="宋体" w:cs="宋体"/>
          <w:sz w:val="24"/>
          <w:szCs w:val="24"/>
          <w:highlight w:val="none"/>
        </w:rPr>
        <w:t>1.0级</w:t>
      </w:r>
      <w:r>
        <w:rPr>
          <w:rFonts w:hint="eastAsia" w:ascii="宋体" w:hAnsi="宋体" w:eastAsia="宋体" w:cs="宋体"/>
          <w:sz w:val="24"/>
          <w:szCs w:val="24"/>
          <w:highlight w:val="none"/>
        </w:rPr>
        <w:t>。</w:t>
      </w:r>
    </w:p>
    <w:bookmarkEnd w:id="0"/>
    <w:p w14:paraId="6B5FE060">
      <w:pPr>
        <w:pStyle w:val="7"/>
        <w:tabs>
          <w:tab w:val="left" w:pos="525"/>
          <w:tab w:val="left" w:pos="1140"/>
        </w:tabs>
        <w:spacing w:line="360" w:lineRule="auto"/>
        <w:ind w:firstLine="480" w:firstLineChars="200"/>
        <w:rPr>
          <w:rStyle w:val="314"/>
          <w:rFonts w:hint="eastAsia" w:ascii="宋体" w:hAnsi="宋体" w:eastAsia="宋体" w:cs="宋体"/>
          <w:sz w:val="24"/>
          <w:szCs w:val="24"/>
          <w:highlight w:val="none"/>
        </w:rPr>
      </w:pPr>
      <w:r>
        <w:rPr>
          <w:rStyle w:val="314"/>
          <w:rFonts w:hint="eastAsia" w:ascii="宋体" w:hAnsi="宋体" w:eastAsia="宋体" w:cs="宋体"/>
          <w:sz w:val="24"/>
          <w:szCs w:val="24"/>
          <w:highlight w:val="none"/>
        </w:rPr>
        <w:t>2</w:t>
      </w:r>
      <w:r>
        <w:rPr>
          <w:rStyle w:val="314"/>
          <w:rFonts w:hint="eastAsia" w:ascii="宋体" w:hAnsi="宋体" w:eastAsia="宋体" w:cs="宋体"/>
          <w:sz w:val="24"/>
          <w:szCs w:val="24"/>
          <w:highlight w:val="none"/>
        </w:rPr>
        <w:t>.4.2.2</w:t>
      </w:r>
      <w:r>
        <w:rPr>
          <w:rStyle w:val="314"/>
          <w:rFonts w:hint="eastAsia" w:ascii="宋体" w:hAnsi="宋体" w:eastAsia="宋体" w:cs="宋体"/>
          <w:sz w:val="24"/>
          <w:szCs w:val="24"/>
          <w:highlight w:val="none"/>
        </w:rPr>
        <w:t>人机交互功能：</w:t>
      </w:r>
    </w:p>
    <w:p w14:paraId="025270FD">
      <w:pPr>
        <w:tabs>
          <w:tab w:val="left" w:pos="315"/>
          <w:tab w:val="left" w:pos="1134"/>
        </w:tabs>
        <w:spacing w:line="360" w:lineRule="auto"/>
        <w:ind w:firstLine="480" w:firstLineChars="200"/>
        <w:rPr>
          <w:rFonts w:hint="eastAsia" w:ascii="宋体" w:hAnsi="宋体" w:eastAsia="宋体" w:cs="宋体"/>
          <w:sz w:val="24"/>
          <w:szCs w:val="24"/>
          <w:highlight w:val="none"/>
        </w:rPr>
      </w:pPr>
      <w:r>
        <w:rPr>
          <w:rStyle w:val="314"/>
          <w:rFonts w:hint="eastAsia" w:ascii="宋体" w:hAnsi="宋体" w:eastAsia="宋体" w:cs="宋体"/>
          <w:sz w:val="24"/>
          <w:szCs w:val="24"/>
          <w:highlight w:val="none"/>
        </w:rPr>
        <w:t>2</w:t>
      </w:r>
      <w:r>
        <w:rPr>
          <w:rStyle w:val="314"/>
          <w:rFonts w:hint="eastAsia" w:ascii="宋体" w:hAnsi="宋体" w:eastAsia="宋体" w:cs="宋体"/>
          <w:sz w:val="24"/>
          <w:szCs w:val="24"/>
          <w:highlight w:val="none"/>
        </w:rPr>
        <w:t>.4.2.2.1</w:t>
      </w:r>
      <w:r>
        <w:rPr>
          <w:rFonts w:hint="eastAsia" w:ascii="宋体" w:hAnsi="宋体" w:eastAsia="宋体" w:cs="宋体"/>
          <w:sz w:val="24"/>
          <w:szCs w:val="24"/>
          <w:highlight w:val="none"/>
        </w:rPr>
        <w:t>充电桩应能显示各状态下的相关信息。包括电源、充电、故障状态指示及报警信息等。</w:t>
      </w:r>
    </w:p>
    <w:p w14:paraId="6EBE1F54">
      <w:pPr>
        <w:tabs>
          <w:tab w:val="left" w:pos="315"/>
          <w:tab w:val="left" w:pos="1134"/>
        </w:tabs>
        <w:spacing w:line="360" w:lineRule="auto"/>
        <w:ind w:firstLine="480" w:firstLineChars="200"/>
        <w:rPr>
          <w:rFonts w:hint="eastAsia" w:ascii="宋体" w:hAnsi="宋体" w:eastAsia="宋体" w:cs="宋体"/>
          <w:sz w:val="24"/>
          <w:szCs w:val="24"/>
          <w:highlight w:val="none"/>
        </w:rPr>
      </w:pPr>
      <w:r>
        <w:rPr>
          <w:rStyle w:val="314"/>
          <w:rFonts w:hint="eastAsia" w:ascii="宋体" w:hAnsi="宋体" w:eastAsia="宋体" w:cs="宋体"/>
          <w:sz w:val="24"/>
          <w:szCs w:val="24"/>
          <w:highlight w:val="none"/>
        </w:rPr>
        <w:t>2</w:t>
      </w:r>
      <w:r>
        <w:rPr>
          <w:rStyle w:val="314"/>
          <w:rFonts w:hint="eastAsia" w:ascii="宋体" w:hAnsi="宋体" w:eastAsia="宋体" w:cs="宋体"/>
          <w:sz w:val="24"/>
          <w:szCs w:val="24"/>
          <w:highlight w:val="none"/>
        </w:rPr>
        <w:t>.4.2.2.2</w:t>
      </w:r>
      <w:r>
        <w:rPr>
          <w:rFonts w:hint="eastAsia" w:ascii="宋体" w:hAnsi="宋体" w:eastAsia="宋体" w:cs="宋体"/>
          <w:sz w:val="24"/>
          <w:szCs w:val="24"/>
          <w:highlight w:val="none"/>
        </w:rPr>
        <w:t>充电桩应具有外部手动设置充电参数、充电桩的编号，实现手动控制的功能和界面。（低中配产品</w:t>
      </w:r>
      <w:r>
        <w:rPr>
          <w:rFonts w:hint="eastAsia" w:ascii="宋体" w:hAnsi="宋体" w:eastAsia="宋体" w:cs="宋体"/>
          <w:sz w:val="24"/>
          <w:szCs w:val="24"/>
          <w:highlight w:val="none"/>
          <w:lang w:val="en-US" w:eastAsia="zh-CN"/>
        </w:rPr>
        <w:t>配3.5寸</w:t>
      </w:r>
      <w:r>
        <w:rPr>
          <w:rFonts w:hint="eastAsia" w:ascii="宋体" w:hAnsi="宋体" w:eastAsia="宋体" w:cs="宋体"/>
          <w:sz w:val="24"/>
          <w:szCs w:val="24"/>
          <w:highlight w:val="none"/>
        </w:rPr>
        <w:t>屏，高配产品需要配置≥</w:t>
      </w:r>
      <w:r>
        <w:rPr>
          <w:rFonts w:hint="eastAsia" w:ascii="宋体" w:hAnsi="宋体" w:eastAsia="宋体" w:cs="宋体"/>
          <w:sz w:val="24"/>
          <w:szCs w:val="24"/>
          <w:highlight w:val="none"/>
        </w:rPr>
        <w:t>4.3</w:t>
      </w:r>
      <w:r>
        <w:rPr>
          <w:rFonts w:hint="eastAsia" w:ascii="宋体" w:hAnsi="宋体" w:eastAsia="宋体" w:cs="宋体"/>
          <w:sz w:val="24"/>
          <w:szCs w:val="24"/>
          <w:highlight w:val="none"/>
        </w:rPr>
        <w:t>寸彩色触摸屏，需满足要求）</w:t>
      </w:r>
    </w:p>
    <w:p w14:paraId="3A7EB536">
      <w:pPr>
        <w:tabs>
          <w:tab w:val="left" w:pos="315"/>
          <w:tab w:val="left" w:pos="1134"/>
        </w:tabs>
        <w:spacing w:line="360" w:lineRule="auto"/>
        <w:ind w:firstLine="480" w:firstLineChars="200"/>
        <w:rPr>
          <w:rFonts w:hint="eastAsia" w:ascii="宋体" w:hAnsi="宋体" w:eastAsia="宋体" w:cs="宋体"/>
          <w:sz w:val="24"/>
          <w:szCs w:val="24"/>
          <w:highlight w:val="none"/>
          <w:lang w:val="en-US" w:eastAsia="zh-CN"/>
        </w:rPr>
      </w:pPr>
      <w:r>
        <w:rPr>
          <w:rStyle w:val="314"/>
          <w:rFonts w:hint="eastAsia" w:ascii="宋体" w:hAnsi="宋体" w:eastAsia="宋体" w:cs="宋体"/>
          <w:sz w:val="24"/>
          <w:szCs w:val="24"/>
          <w:highlight w:val="none"/>
        </w:rPr>
        <w:t>2</w:t>
      </w:r>
      <w:r>
        <w:rPr>
          <w:rStyle w:val="314"/>
          <w:rFonts w:hint="eastAsia" w:ascii="宋体" w:hAnsi="宋体" w:eastAsia="宋体" w:cs="宋体"/>
          <w:sz w:val="24"/>
          <w:szCs w:val="24"/>
          <w:highlight w:val="none"/>
        </w:rPr>
        <w:t>.4.2.2.3</w:t>
      </w:r>
      <w:r>
        <w:rPr>
          <w:rFonts w:hint="eastAsia" w:ascii="宋体" w:hAnsi="宋体" w:eastAsia="宋体" w:cs="宋体"/>
          <w:sz w:val="24"/>
          <w:szCs w:val="24"/>
          <w:highlight w:val="none"/>
        </w:rPr>
        <w:t>充电桩应提供运营互动平台的接入服务。预约充电、充电控制、充电导航、信息查询、在线支付等功能应能通过A</w:t>
      </w:r>
      <w:r>
        <w:rPr>
          <w:rFonts w:hint="eastAsia" w:ascii="宋体" w:hAnsi="宋体" w:eastAsia="宋体" w:cs="宋体"/>
          <w:sz w:val="24"/>
          <w:szCs w:val="24"/>
          <w:highlight w:val="none"/>
        </w:rPr>
        <w:t>PP</w:t>
      </w:r>
      <w:r>
        <w:rPr>
          <w:rFonts w:hint="eastAsia" w:ascii="宋体" w:hAnsi="宋体" w:eastAsia="宋体" w:cs="宋体"/>
          <w:sz w:val="24"/>
          <w:szCs w:val="24"/>
          <w:highlight w:val="none"/>
        </w:rPr>
        <w:t>或微信小程序实现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并提供与</w:t>
      </w:r>
      <w:bookmarkStart w:id="10" w:name="_GoBack"/>
      <w:bookmarkEnd w:id="10"/>
      <w:r>
        <w:rPr>
          <w:rFonts w:hint="eastAsia" w:ascii="宋体" w:hAnsi="宋体" w:eastAsia="宋体" w:cs="宋体"/>
          <w:sz w:val="24"/>
          <w:szCs w:val="24"/>
          <w:highlight w:val="none"/>
          <w:lang w:val="en-US" w:eastAsia="zh-CN"/>
        </w:rPr>
        <w:t>结算系统接入功能。</w:t>
      </w:r>
    </w:p>
    <w:p w14:paraId="681BBE9D">
      <w:pPr>
        <w:tabs>
          <w:tab w:val="left" w:pos="315"/>
          <w:tab w:val="left" w:pos="1134"/>
        </w:tabs>
        <w:spacing w:line="360" w:lineRule="auto"/>
        <w:ind w:firstLine="480" w:firstLineChars="200"/>
        <w:rPr>
          <w:rFonts w:hint="eastAsia" w:ascii="宋体" w:hAnsi="宋体" w:eastAsia="宋体" w:cs="宋体"/>
          <w:sz w:val="24"/>
          <w:szCs w:val="24"/>
          <w:highlight w:val="none"/>
        </w:rPr>
      </w:pPr>
      <w:r>
        <w:rPr>
          <w:rStyle w:val="314"/>
          <w:rFonts w:hint="eastAsia" w:ascii="宋体" w:hAnsi="宋体" w:eastAsia="宋体" w:cs="宋体"/>
          <w:sz w:val="24"/>
          <w:szCs w:val="24"/>
          <w:highlight w:val="none"/>
        </w:rPr>
        <w:t>2</w:t>
      </w:r>
      <w:r>
        <w:rPr>
          <w:rStyle w:val="314"/>
          <w:rFonts w:hint="eastAsia" w:ascii="宋体" w:hAnsi="宋体" w:eastAsia="宋体" w:cs="宋体"/>
          <w:sz w:val="24"/>
          <w:szCs w:val="24"/>
          <w:highlight w:val="none"/>
        </w:rPr>
        <w:t>.4.2.2.4</w:t>
      </w:r>
      <w:r>
        <w:rPr>
          <w:rFonts w:hint="eastAsia" w:ascii="宋体" w:hAnsi="宋体" w:eastAsia="宋体" w:cs="宋体"/>
          <w:sz w:val="24"/>
          <w:szCs w:val="24"/>
          <w:highlight w:val="none"/>
        </w:rPr>
        <w:t>信息显示字符清晰、完整，应不依靠环境光源即可辨认。</w:t>
      </w:r>
    </w:p>
    <w:p w14:paraId="066F0593">
      <w:pPr>
        <w:pStyle w:val="7"/>
        <w:tabs>
          <w:tab w:val="left" w:pos="525"/>
          <w:tab w:val="left" w:pos="1134"/>
        </w:tabs>
        <w:spacing w:line="360" w:lineRule="auto"/>
        <w:ind w:firstLine="480" w:firstLineChars="200"/>
        <w:rPr>
          <w:rFonts w:hint="eastAsia" w:ascii="宋体" w:hAnsi="宋体" w:eastAsia="宋体" w:cs="宋体"/>
          <w:sz w:val="24"/>
          <w:szCs w:val="24"/>
          <w:highlight w:val="none"/>
        </w:rPr>
      </w:pPr>
      <w:r>
        <w:rPr>
          <w:rStyle w:val="314"/>
          <w:rFonts w:hint="eastAsia" w:ascii="宋体" w:hAnsi="宋体" w:eastAsia="宋体" w:cs="宋体"/>
          <w:sz w:val="24"/>
          <w:szCs w:val="24"/>
          <w:highlight w:val="none"/>
        </w:rPr>
        <w:t>2</w:t>
      </w:r>
      <w:r>
        <w:rPr>
          <w:rStyle w:val="314"/>
          <w:rFonts w:hint="eastAsia" w:ascii="宋体" w:hAnsi="宋体" w:eastAsia="宋体" w:cs="宋体"/>
          <w:sz w:val="24"/>
          <w:szCs w:val="24"/>
          <w:highlight w:val="none"/>
        </w:rPr>
        <w:t>.4.2.3</w:t>
      </w:r>
      <w:r>
        <w:rPr>
          <w:rStyle w:val="314"/>
          <w:rFonts w:hint="eastAsia" w:ascii="宋体" w:hAnsi="宋体" w:eastAsia="宋体" w:cs="宋体"/>
          <w:sz w:val="24"/>
          <w:szCs w:val="24"/>
          <w:highlight w:val="none"/>
        </w:rPr>
        <w:t>通信功能：中配、高配充电桩应具备</w:t>
      </w:r>
      <w:r>
        <w:rPr>
          <w:rFonts w:hint="eastAsia" w:ascii="宋体" w:hAnsi="宋体" w:eastAsia="宋体" w:cs="宋体"/>
          <w:kern w:val="24"/>
          <w:sz w:val="24"/>
          <w:szCs w:val="24"/>
          <w:highlight w:val="none"/>
        </w:rPr>
        <w:t>4G通讯，支持</w:t>
      </w:r>
      <w:r>
        <w:rPr>
          <w:rFonts w:hint="eastAsia" w:ascii="宋体" w:hAnsi="宋体" w:eastAsia="宋体" w:cs="宋体"/>
          <w:kern w:val="24"/>
          <w:sz w:val="24"/>
          <w:szCs w:val="24"/>
          <w:highlight w:val="none"/>
          <w:lang w:val="en-US" w:eastAsia="zh-CN"/>
        </w:rPr>
        <w:t>以太网</w:t>
      </w:r>
      <w:r>
        <w:rPr>
          <w:rFonts w:hint="eastAsia" w:ascii="宋体" w:hAnsi="宋体" w:eastAsia="宋体" w:cs="宋体"/>
          <w:kern w:val="24"/>
          <w:sz w:val="24"/>
          <w:szCs w:val="24"/>
          <w:highlight w:val="none"/>
        </w:rPr>
        <w:t>或WIFI组网。</w:t>
      </w:r>
    </w:p>
    <w:p w14:paraId="21DBBEAB">
      <w:pPr>
        <w:pStyle w:val="7"/>
        <w:tabs>
          <w:tab w:val="left" w:pos="525"/>
          <w:tab w:val="left" w:pos="1140"/>
        </w:tabs>
        <w:spacing w:line="360" w:lineRule="auto"/>
        <w:ind w:firstLine="480" w:firstLineChars="200"/>
        <w:rPr>
          <w:rStyle w:val="314"/>
          <w:rFonts w:hint="eastAsia" w:ascii="宋体" w:hAnsi="宋体" w:eastAsia="宋体" w:cs="宋体"/>
          <w:sz w:val="24"/>
          <w:szCs w:val="24"/>
          <w:highlight w:val="none"/>
        </w:rPr>
      </w:pPr>
      <w:r>
        <w:rPr>
          <w:rStyle w:val="314"/>
          <w:rFonts w:hint="eastAsia" w:ascii="宋体" w:hAnsi="宋体" w:eastAsia="宋体" w:cs="宋体"/>
          <w:sz w:val="24"/>
          <w:szCs w:val="24"/>
          <w:highlight w:val="none"/>
        </w:rPr>
        <w:t>2</w:t>
      </w:r>
      <w:r>
        <w:rPr>
          <w:rStyle w:val="314"/>
          <w:rFonts w:hint="eastAsia" w:ascii="宋体" w:hAnsi="宋体" w:eastAsia="宋体" w:cs="宋体"/>
          <w:sz w:val="24"/>
          <w:szCs w:val="24"/>
          <w:highlight w:val="none"/>
        </w:rPr>
        <w:t>.4.2.4</w:t>
      </w:r>
      <w:r>
        <w:rPr>
          <w:rStyle w:val="314"/>
          <w:rFonts w:hint="eastAsia" w:ascii="宋体" w:hAnsi="宋体" w:eastAsia="宋体" w:cs="宋体"/>
          <w:sz w:val="24"/>
          <w:szCs w:val="24"/>
          <w:highlight w:val="none"/>
        </w:rPr>
        <w:t>保护功能</w:t>
      </w:r>
    </w:p>
    <w:p w14:paraId="19512530">
      <w:pPr>
        <w:pStyle w:val="7"/>
        <w:tabs>
          <w:tab w:val="left" w:pos="525"/>
          <w:tab w:val="left" w:pos="1140"/>
        </w:tabs>
        <w:spacing w:line="360" w:lineRule="auto"/>
        <w:ind w:firstLineChars="175"/>
        <w:rPr>
          <w:rStyle w:val="314"/>
          <w:rFonts w:hint="eastAsia" w:ascii="宋体" w:hAnsi="宋体" w:eastAsia="宋体" w:cs="宋体"/>
          <w:sz w:val="24"/>
          <w:szCs w:val="24"/>
          <w:highlight w:val="none"/>
        </w:rPr>
      </w:pPr>
      <w:r>
        <w:rPr>
          <w:rStyle w:val="314"/>
          <w:rFonts w:hint="eastAsia" w:ascii="宋体" w:hAnsi="宋体" w:eastAsia="宋体" w:cs="宋体"/>
          <w:sz w:val="24"/>
          <w:szCs w:val="24"/>
          <w:highlight w:val="none"/>
        </w:rPr>
        <w:t>充电桩的安全性要求应满足GB/T 18487.1-2015附录A中对应的描述和要求。</w:t>
      </w:r>
    </w:p>
    <w:p w14:paraId="65F601F6">
      <w:pPr>
        <w:tabs>
          <w:tab w:val="left" w:pos="315"/>
          <w:tab w:val="left" w:pos="1134"/>
        </w:tabs>
        <w:spacing w:line="360" w:lineRule="auto"/>
        <w:ind w:firstLine="480" w:firstLineChars="200"/>
        <w:rPr>
          <w:rFonts w:hint="eastAsia" w:ascii="宋体" w:hAnsi="宋体" w:eastAsia="宋体" w:cs="宋体"/>
          <w:sz w:val="24"/>
          <w:szCs w:val="24"/>
          <w:highlight w:val="none"/>
        </w:rPr>
      </w:pPr>
      <w:r>
        <w:rPr>
          <w:rStyle w:val="314"/>
          <w:rFonts w:hint="eastAsia" w:ascii="宋体" w:hAnsi="宋体" w:eastAsia="宋体" w:cs="宋体"/>
          <w:sz w:val="24"/>
          <w:szCs w:val="24"/>
          <w:highlight w:val="none"/>
        </w:rPr>
        <w:t>2</w:t>
      </w:r>
      <w:r>
        <w:rPr>
          <w:rStyle w:val="314"/>
          <w:rFonts w:hint="eastAsia" w:ascii="宋体" w:hAnsi="宋体" w:eastAsia="宋体" w:cs="宋体"/>
          <w:sz w:val="24"/>
          <w:szCs w:val="24"/>
          <w:highlight w:val="none"/>
        </w:rPr>
        <w:t>.4.2.4.1</w:t>
      </w:r>
      <w:r>
        <w:rPr>
          <w:rFonts w:hint="eastAsia" w:ascii="宋体" w:hAnsi="宋体" w:eastAsia="宋体" w:cs="宋体"/>
          <w:sz w:val="24"/>
          <w:szCs w:val="24"/>
          <w:highlight w:val="none"/>
        </w:rPr>
        <w:t>充电桩的电源回路应具备带负载可分合的开关电器。</w:t>
      </w:r>
    </w:p>
    <w:p w14:paraId="6C037C77">
      <w:pPr>
        <w:tabs>
          <w:tab w:val="left" w:pos="315"/>
          <w:tab w:val="left" w:pos="1134"/>
        </w:tabs>
        <w:spacing w:line="360" w:lineRule="auto"/>
        <w:ind w:firstLine="480" w:firstLineChars="200"/>
        <w:rPr>
          <w:rFonts w:hint="eastAsia" w:ascii="宋体" w:hAnsi="宋体" w:eastAsia="宋体" w:cs="宋体"/>
          <w:sz w:val="24"/>
          <w:szCs w:val="24"/>
          <w:highlight w:val="none"/>
        </w:rPr>
      </w:pPr>
      <w:r>
        <w:rPr>
          <w:rStyle w:val="314"/>
          <w:rFonts w:hint="eastAsia" w:ascii="宋体" w:hAnsi="宋体" w:eastAsia="宋体" w:cs="宋体"/>
          <w:sz w:val="24"/>
          <w:szCs w:val="24"/>
          <w:highlight w:val="none"/>
        </w:rPr>
        <w:t>2</w:t>
      </w:r>
      <w:r>
        <w:rPr>
          <w:rStyle w:val="314"/>
          <w:rFonts w:hint="eastAsia" w:ascii="宋体" w:hAnsi="宋体" w:eastAsia="宋体" w:cs="宋体"/>
          <w:sz w:val="24"/>
          <w:szCs w:val="24"/>
          <w:highlight w:val="none"/>
        </w:rPr>
        <w:t>.4.2.4.2</w:t>
      </w:r>
      <w:r>
        <w:rPr>
          <w:rFonts w:hint="eastAsia" w:ascii="宋体" w:hAnsi="宋体" w:eastAsia="宋体" w:cs="宋体"/>
          <w:sz w:val="24"/>
          <w:szCs w:val="24"/>
          <w:highlight w:val="none"/>
        </w:rPr>
        <w:t>充电桩应具备过电流保护、剩余电流保护、接地保护、浪涌保护、过电压/欠电压保护、过温保护。</w:t>
      </w:r>
    </w:p>
    <w:p w14:paraId="4D716334">
      <w:pPr>
        <w:tabs>
          <w:tab w:val="left" w:pos="315"/>
          <w:tab w:val="left" w:pos="1134"/>
        </w:tabs>
        <w:spacing w:line="360" w:lineRule="auto"/>
        <w:ind w:firstLine="480" w:firstLineChars="200"/>
        <w:rPr>
          <w:rFonts w:hint="eastAsia" w:ascii="宋体" w:hAnsi="宋体" w:eastAsia="宋体" w:cs="宋体"/>
          <w:sz w:val="24"/>
          <w:szCs w:val="24"/>
          <w:highlight w:val="none"/>
        </w:rPr>
      </w:pPr>
      <w:r>
        <w:rPr>
          <w:rStyle w:val="314"/>
          <w:rFonts w:hint="eastAsia" w:ascii="宋体" w:hAnsi="宋体" w:eastAsia="宋体" w:cs="宋体"/>
          <w:sz w:val="24"/>
          <w:szCs w:val="24"/>
          <w:highlight w:val="none"/>
        </w:rPr>
        <w:t>2</w:t>
      </w:r>
      <w:r>
        <w:rPr>
          <w:rStyle w:val="314"/>
          <w:rFonts w:hint="eastAsia" w:ascii="宋体" w:hAnsi="宋体" w:eastAsia="宋体" w:cs="宋体"/>
          <w:sz w:val="24"/>
          <w:szCs w:val="24"/>
          <w:highlight w:val="none"/>
        </w:rPr>
        <w:t>.4.2.4.3</w:t>
      </w:r>
      <w:r>
        <w:rPr>
          <w:rFonts w:hint="eastAsia" w:ascii="宋体" w:hAnsi="宋体" w:eastAsia="宋体" w:cs="宋体"/>
          <w:sz w:val="24"/>
          <w:szCs w:val="24"/>
          <w:highlight w:val="none"/>
        </w:rPr>
        <w:t>充电桩的电源回路应</w:t>
      </w:r>
      <w:r>
        <w:rPr>
          <w:rFonts w:hint="eastAsia" w:ascii="宋体" w:hAnsi="宋体" w:eastAsia="宋体" w:cs="宋体"/>
          <w:sz w:val="24"/>
          <w:szCs w:val="24"/>
          <w:highlight w:val="none"/>
        </w:rPr>
        <w:t>具备防雷保护功能，并且符合</w:t>
      </w:r>
      <w:r>
        <w:rPr>
          <w:rFonts w:hint="eastAsia" w:ascii="宋体" w:hAnsi="宋体" w:eastAsia="宋体" w:cs="宋体"/>
          <w:sz w:val="24"/>
          <w:szCs w:val="24"/>
          <w:highlight w:val="none"/>
        </w:rPr>
        <w:t>GB/T 18487.</w:t>
      </w:r>
      <w:r>
        <w:rPr>
          <w:rFonts w:hint="eastAsia" w:ascii="宋体" w:hAnsi="宋体" w:eastAsia="宋体" w:cs="宋体"/>
          <w:sz w:val="24"/>
          <w:szCs w:val="24"/>
          <w:highlight w:val="none"/>
        </w:rPr>
        <w:t>2-2017</w:t>
      </w:r>
      <w:r>
        <w:rPr>
          <w:rFonts w:hint="eastAsia" w:ascii="宋体" w:hAnsi="宋体" w:eastAsia="宋体" w:cs="宋体"/>
          <w:sz w:val="24"/>
          <w:szCs w:val="24"/>
          <w:highlight w:val="none"/>
        </w:rPr>
        <w:t>电动车辆传导充电系统</w:t>
      </w:r>
      <w:r>
        <w:rPr>
          <w:rFonts w:hint="eastAsia" w:ascii="宋体" w:hAnsi="宋体" w:eastAsia="宋体" w:cs="宋体"/>
          <w:sz w:val="24"/>
          <w:szCs w:val="24"/>
          <w:highlight w:val="none"/>
        </w:rPr>
        <w:t>　</w:t>
      </w:r>
    </w:p>
    <w:p w14:paraId="7EE30B34">
      <w:pPr>
        <w:tabs>
          <w:tab w:val="left" w:pos="315"/>
          <w:tab w:val="left" w:pos="1134"/>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第二部分：非车载传导供电设备电磁兼容要求</w:t>
      </w:r>
    </w:p>
    <w:p w14:paraId="0FB2498A">
      <w:pPr>
        <w:tabs>
          <w:tab w:val="left" w:pos="315"/>
          <w:tab w:val="left" w:pos="1134"/>
        </w:tabs>
        <w:spacing w:line="360" w:lineRule="auto"/>
        <w:ind w:firstLine="480" w:firstLineChars="200"/>
        <w:rPr>
          <w:rFonts w:hint="eastAsia" w:ascii="宋体" w:hAnsi="宋体" w:eastAsia="宋体" w:cs="宋体"/>
          <w:sz w:val="24"/>
          <w:szCs w:val="24"/>
          <w:highlight w:val="none"/>
        </w:rPr>
      </w:pPr>
      <w:r>
        <w:rPr>
          <w:rStyle w:val="314"/>
          <w:rFonts w:hint="eastAsia" w:ascii="宋体" w:hAnsi="宋体" w:eastAsia="宋体" w:cs="宋体"/>
          <w:sz w:val="24"/>
          <w:szCs w:val="24"/>
          <w:highlight w:val="none"/>
        </w:rPr>
        <w:t>2</w:t>
      </w:r>
      <w:r>
        <w:rPr>
          <w:rStyle w:val="314"/>
          <w:rFonts w:hint="eastAsia" w:ascii="宋体" w:hAnsi="宋体" w:eastAsia="宋体" w:cs="宋体"/>
          <w:sz w:val="24"/>
          <w:szCs w:val="24"/>
          <w:highlight w:val="none"/>
        </w:rPr>
        <w:t>.4.2.4.4</w:t>
      </w:r>
      <w:r>
        <w:rPr>
          <w:rFonts w:hint="eastAsia" w:ascii="宋体" w:hAnsi="宋体" w:eastAsia="宋体" w:cs="宋体"/>
          <w:sz w:val="24"/>
          <w:szCs w:val="24"/>
          <w:highlight w:val="none"/>
        </w:rPr>
        <w:t>充电桩应具备急停开关，能实现在充电过程中100ms内紧急切断输出电源。</w:t>
      </w:r>
    </w:p>
    <w:p w14:paraId="77BF44FE">
      <w:pPr>
        <w:tabs>
          <w:tab w:val="left" w:pos="315"/>
          <w:tab w:val="left" w:pos="1134"/>
        </w:tabs>
        <w:spacing w:line="360" w:lineRule="auto"/>
        <w:ind w:firstLine="480" w:firstLineChars="200"/>
        <w:rPr>
          <w:rFonts w:hint="eastAsia" w:ascii="宋体" w:hAnsi="宋体" w:eastAsia="宋体" w:cs="宋体"/>
          <w:sz w:val="24"/>
          <w:szCs w:val="24"/>
          <w:highlight w:val="none"/>
        </w:rPr>
      </w:pPr>
      <w:r>
        <w:rPr>
          <w:rStyle w:val="314"/>
          <w:rFonts w:hint="eastAsia" w:ascii="宋体" w:hAnsi="宋体" w:eastAsia="宋体" w:cs="宋体"/>
          <w:sz w:val="24"/>
          <w:szCs w:val="24"/>
          <w:highlight w:val="none"/>
        </w:rPr>
        <w:t>2</w:t>
      </w:r>
      <w:r>
        <w:rPr>
          <w:rStyle w:val="314"/>
          <w:rFonts w:hint="eastAsia" w:ascii="宋体" w:hAnsi="宋体" w:eastAsia="宋体" w:cs="宋体"/>
          <w:sz w:val="24"/>
          <w:szCs w:val="24"/>
          <w:highlight w:val="none"/>
        </w:rPr>
        <w:t>.4.2.4.5</w:t>
      </w:r>
      <w:r>
        <w:rPr>
          <w:rFonts w:hint="eastAsia" w:ascii="宋体" w:hAnsi="宋体" w:eastAsia="宋体" w:cs="宋体"/>
          <w:sz w:val="24"/>
          <w:szCs w:val="24"/>
          <w:highlight w:val="none"/>
        </w:rPr>
        <w:t>在充电过程中出现连接异常时，充电桩应立即（100ms内）自动切断输出电源。</w:t>
      </w:r>
    </w:p>
    <w:p w14:paraId="6AAD7AC7">
      <w:pPr>
        <w:tabs>
          <w:tab w:val="left" w:pos="315"/>
          <w:tab w:val="left" w:pos="1134"/>
        </w:tabs>
        <w:spacing w:line="360" w:lineRule="auto"/>
        <w:ind w:firstLine="480" w:firstLineChars="200"/>
        <w:rPr>
          <w:rFonts w:hint="eastAsia" w:ascii="宋体" w:hAnsi="宋体" w:eastAsia="宋体" w:cs="宋体"/>
          <w:sz w:val="24"/>
          <w:szCs w:val="24"/>
          <w:highlight w:val="none"/>
        </w:rPr>
      </w:pPr>
      <w:r>
        <w:rPr>
          <w:rStyle w:val="314"/>
          <w:rFonts w:hint="eastAsia" w:ascii="宋体" w:hAnsi="宋体" w:eastAsia="宋体" w:cs="宋体"/>
          <w:sz w:val="24"/>
          <w:szCs w:val="24"/>
          <w:highlight w:val="none"/>
        </w:rPr>
        <w:t>2</w:t>
      </w:r>
      <w:r>
        <w:rPr>
          <w:rStyle w:val="314"/>
          <w:rFonts w:hint="eastAsia" w:ascii="宋体" w:hAnsi="宋体" w:eastAsia="宋体" w:cs="宋体"/>
          <w:sz w:val="24"/>
          <w:szCs w:val="24"/>
          <w:highlight w:val="none"/>
        </w:rPr>
        <w:t>.4.2.4.6</w:t>
      </w:r>
      <w:r>
        <w:rPr>
          <w:rFonts w:hint="eastAsia" w:ascii="宋体" w:hAnsi="宋体" w:eastAsia="宋体" w:cs="宋体"/>
          <w:sz w:val="24"/>
          <w:szCs w:val="24"/>
          <w:highlight w:val="none"/>
        </w:rPr>
        <w:t>在停止充电时，充电桩应保证输出电源回路处于断开状态。</w:t>
      </w:r>
    </w:p>
    <w:p w14:paraId="6C31FE67">
      <w:pPr>
        <w:tabs>
          <w:tab w:val="left" w:pos="315"/>
          <w:tab w:val="left" w:pos="1134"/>
        </w:tabs>
        <w:spacing w:line="360" w:lineRule="auto"/>
        <w:ind w:firstLine="480" w:firstLineChars="200"/>
        <w:rPr>
          <w:rFonts w:hint="eastAsia" w:ascii="宋体" w:hAnsi="宋体" w:eastAsia="宋体" w:cs="宋体"/>
          <w:sz w:val="24"/>
          <w:szCs w:val="24"/>
          <w:highlight w:val="none"/>
        </w:rPr>
      </w:pPr>
      <w:r>
        <w:rPr>
          <w:rStyle w:val="314"/>
          <w:rFonts w:hint="eastAsia" w:ascii="宋体" w:hAnsi="宋体" w:eastAsia="宋体" w:cs="宋体"/>
          <w:sz w:val="24"/>
          <w:szCs w:val="24"/>
          <w:highlight w:val="none"/>
        </w:rPr>
        <w:t>2</w:t>
      </w:r>
      <w:r>
        <w:rPr>
          <w:rStyle w:val="314"/>
          <w:rFonts w:hint="eastAsia" w:ascii="宋体" w:hAnsi="宋体" w:eastAsia="宋体" w:cs="宋体"/>
          <w:sz w:val="24"/>
          <w:szCs w:val="24"/>
          <w:highlight w:val="none"/>
        </w:rPr>
        <w:t>.4.2.4.7</w:t>
      </w:r>
      <w:r>
        <w:rPr>
          <w:rFonts w:hint="eastAsia" w:ascii="宋体" w:hAnsi="宋体" w:eastAsia="宋体" w:cs="宋体"/>
          <w:sz w:val="24"/>
          <w:szCs w:val="24"/>
          <w:highlight w:val="none"/>
        </w:rPr>
        <w:t>剩余电流保护器采用TypeA+6mA型或TypeB型 </w:t>
      </w:r>
      <w:r>
        <w:rPr>
          <w:rFonts w:hint="eastAsia" w:ascii="宋体" w:hAnsi="宋体" w:eastAsia="宋体" w:cs="宋体"/>
          <w:sz w:val="24"/>
          <w:szCs w:val="24"/>
          <w:highlight w:val="none"/>
        </w:rPr>
        <w:t>。</w:t>
      </w:r>
    </w:p>
    <w:p w14:paraId="354CF37A">
      <w:pPr>
        <w:tabs>
          <w:tab w:val="left" w:pos="315"/>
          <w:tab w:val="left" w:pos="1134"/>
        </w:tabs>
        <w:spacing w:line="360" w:lineRule="auto"/>
        <w:ind w:firstLine="480" w:firstLineChars="200"/>
        <w:rPr>
          <w:rFonts w:hint="eastAsia" w:ascii="宋体" w:hAnsi="宋体" w:eastAsia="宋体" w:cs="宋体"/>
          <w:kern w:val="21"/>
          <w:sz w:val="24"/>
          <w:szCs w:val="24"/>
          <w:highlight w:val="none"/>
        </w:rPr>
      </w:pPr>
      <w:r>
        <w:rPr>
          <w:rStyle w:val="314"/>
          <w:rFonts w:hint="eastAsia" w:ascii="宋体" w:hAnsi="宋体" w:eastAsia="宋体" w:cs="宋体"/>
          <w:sz w:val="24"/>
          <w:szCs w:val="24"/>
          <w:highlight w:val="none"/>
        </w:rPr>
        <w:t>2</w:t>
      </w:r>
      <w:r>
        <w:rPr>
          <w:rStyle w:val="314"/>
          <w:rFonts w:hint="eastAsia" w:ascii="宋体" w:hAnsi="宋体" w:eastAsia="宋体" w:cs="宋体"/>
          <w:sz w:val="24"/>
          <w:szCs w:val="24"/>
          <w:highlight w:val="none"/>
        </w:rPr>
        <w:t>.4.2.4.8</w:t>
      </w:r>
      <w:r>
        <w:rPr>
          <w:rFonts w:hint="eastAsia" w:ascii="宋体" w:hAnsi="宋体" w:eastAsia="宋体" w:cs="宋体"/>
          <w:sz w:val="24"/>
          <w:szCs w:val="24"/>
          <w:highlight w:val="none"/>
        </w:rPr>
        <w:t>充电桩应具备保护接地导体连续性的持续检测功能，在失去保护接地导体连续性的情况下，应在100ms内切断输出电源</w:t>
      </w:r>
    </w:p>
    <w:p w14:paraId="5538DB1A">
      <w:pPr>
        <w:tabs>
          <w:tab w:val="left" w:pos="315"/>
          <w:tab w:val="left" w:pos="1134"/>
        </w:tabs>
        <w:spacing w:line="360" w:lineRule="auto"/>
        <w:ind w:firstLine="480" w:firstLineChars="200"/>
        <w:rPr>
          <w:rFonts w:hint="eastAsia" w:ascii="宋体" w:hAnsi="宋体" w:eastAsia="宋体" w:cs="宋体"/>
          <w:kern w:val="21"/>
          <w:sz w:val="24"/>
          <w:szCs w:val="24"/>
          <w:highlight w:val="none"/>
        </w:rPr>
      </w:pPr>
      <w:r>
        <w:rPr>
          <w:rStyle w:val="314"/>
          <w:rFonts w:hint="eastAsia" w:ascii="宋体" w:hAnsi="宋体" w:eastAsia="宋体" w:cs="宋体"/>
          <w:sz w:val="24"/>
          <w:szCs w:val="24"/>
          <w:highlight w:val="none"/>
        </w:rPr>
        <w:t>2</w:t>
      </w:r>
      <w:r>
        <w:rPr>
          <w:rStyle w:val="314"/>
          <w:rFonts w:hint="eastAsia" w:ascii="宋体" w:hAnsi="宋体" w:eastAsia="宋体" w:cs="宋体"/>
          <w:sz w:val="24"/>
          <w:szCs w:val="24"/>
          <w:highlight w:val="none"/>
        </w:rPr>
        <w:t>.4.2.5</w:t>
      </w:r>
      <w:r>
        <w:rPr>
          <w:rStyle w:val="314"/>
          <w:rFonts w:hint="eastAsia" w:ascii="宋体" w:hAnsi="宋体" w:eastAsia="宋体" w:cs="宋体"/>
          <w:sz w:val="24"/>
          <w:szCs w:val="24"/>
          <w:highlight w:val="none"/>
        </w:rPr>
        <w:t>自检功能：</w:t>
      </w:r>
      <w:r>
        <w:rPr>
          <w:rFonts w:hint="eastAsia" w:ascii="宋体" w:hAnsi="宋体" w:eastAsia="宋体" w:cs="宋体"/>
          <w:sz w:val="24"/>
          <w:szCs w:val="24"/>
          <w:highlight w:val="none"/>
        </w:rPr>
        <w:t>充电桩应具备自检及故障报警功能。</w:t>
      </w:r>
    </w:p>
    <w:p w14:paraId="1F943703">
      <w:pPr>
        <w:widowControl/>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rPr>
        <w:t xml:space="preserve">.4.2.5 </w:t>
      </w:r>
      <w:r>
        <w:rPr>
          <w:rFonts w:hint="eastAsia" w:ascii="宋体" w:hAnsi="宋体" w:eastAsia="宋体" w:cs="宋体"/>
          <w:sz w:val="24"/>
          <w:szCs w:val="24"/>
          <w:highlight w:val="none"/>
        </w:rPr>
        <w:t>刷卡付费功能（部分机型）：充电桩应具备M1卡读卡装置，能够与充电桩内置电能计量装置进行通信，配合M1卡实现充电控制及充电计费。</w:t>
      </w:r>
    </w:p>
    <w:p w14:paraId="1E8F4696">
      <w:pPr>
        <w:pStyle w:val="341"/>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lang w:val="en-US"/>
        </w:rPr>
        <w:t>付费功能：充电桩可按配置的参数实现准确计费，参数包括费率时段、计费费率等，并支持多种网络支付方式。</w:t>
      </w:r>
    </w:p>
    <w:p w14:paraId="71FAA078">
      <w:pPr>
        <w:widowControl/>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rPr>
        <w:t>.4.3</w:t>
      </w:r>
      <w:r>
        <w:rPr>
          <w:rFonts w:hint="eastAsia" w:ascii="宋体" w:hAnsi="宋体" w:eastAsia="宋体" w:cs="宋体"/>
          <w:sz w:val="24"/>
          <w:szCs w:val="24"/>
          <w:highlight w:val="none"/>
        </w:rPr>
        <w:t>性能要求</w:t>
      </w:r>
    </w:p>
    <w:p w14:paraId="64A1DBEF">
      <w:pPr>
        <w:pStyle w:val="7"/>
        <w:tabs>
          <w:tab w:val="left" w:pos="525"/>
          <w:tab w:val="left" w:pos="1140"/>
        </w:tabs>
        <w:spacing w:line="360" w:lineRule="auto"/>
        <w:ind w:firstLine="480" w:firstLineChars="200"/>
        <w:rPr>
          <w:rStyle w:val="314"/>
          <w:rFonts w:hint="eastAsia" w:ascii="宋体" w:hAnsi="宋体" w:eastAsia="宋体" w:cs="宋体"/>
          <w:sz w:val="24"/>
          <w:szCs w:val="24"/>
          <w:highlight w:val="none"/>
        </w:rPr>
      </w:pPr>
      <w:r>
        <w:rPr>
          <w:rStyle w:val="314"/>
          <w:rFonts w:hint="eastAsia" w:ascii="宋体" w:hAnsi="宋体" w:eastAsia="宋体" w:cs="宋体"/>
          <w:sz w:val="24"/>
          <w:szCs w:val="24"/>
          <w:highlight w:val="none"/>
        </w:rPr>
        <w:t>2</w:t>
      </w:r>
      <w:r>
        <w:rPr>
          <w:rStyle w:val="314"/>
          <w:rFonts w:hint="eastAsia" w:ascii="宋体" w:hAnsi="宋体" w:eastAsia="宋体" w:cs="宋体"/>
          <w:sz w:val="24"/>
          <w:szCs w:val="24"/>
          <w:highlight w:val="none"/>
        </w:rPr>
        <w:t>.4.3.1</w:t>
      </w:r>
      <w:r>
        <w:rPr>
          <w:rStyle w:val="314"/>
          <w:rFonts w:hint="eastAsia" w:ascii="宋体" w:hAnsi="宋体" w:eastAsia="宋体" w:cs="宋体"/>
          <w:sz w:val="24"/>
          <w:szCs w:val="24"/>
          <w:highlight w:val="none"/>
        </w:rPr>
        <w:t>环境防护要求</w:t>
      </w:r>
    </w:p>
    <w:p w14:paraId="10170D30">
      <w:pPr>
        <w:tabs>
          <w:tab w:val="left" w:pos="1134"/>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rPr>
        <w:t>IP防护等级：不应低于IP</w:t>
      </w:r>
      <w:r>
        <w:rPr>
          <w:rFonts w:hint="eastAsia" w:ascii="宋体" w:hAnsi="宋体" w:eastAsia="宋体" w:cs="宋体"/>
          <w:sz w:val="24"/>
          <w:szCs w:val="24"/>
          <w:highlight w:val="none"/>
        </w:rPr>
        <w:t>65</w:t>
      </w:r>
      <w:r>
        <w:rPr>
          <w:rFonts w:hint="eastAsia" w:ascii="宋体" w:hAnsi="宋体" w:eastAsia="宋体" w:cs="宋体"/>
          <w:sz w:val="24"/>
          <w:szCs w:val="24"/>
          <w:highlight w:val="none"/>
        </w:rPr>
        <w:t>的规定</w:t>
      </w:r>
      <w:r>
        <w:rPr>
          <w:rFonts w:hint="eastAsia" w:ascii="宋体" w:hAnsi="宋体" w:eastAsia="宋体" w:cs="宋体"/>
          <w:sz w:val="24"/>
          <w:szCs w:val="24"/>
          <w:highlight w:val="none"/>
        </w:rPr>
        <w:t>;</w:t>
      </w:r>
    </w:p>
    <w:p w14:paraId="1D094272">
      <w:pPr>
        <w:tabs>
          <w:tab w:val="left" w:pos="1134"/>
        </w:tabs>
        <w:spacing w:line="360" w:lineRule="auto"/>
        <w:ind w:firstLine="480" w:firstLineChars="200"/>
        <w:rPr>
          <w:rStyle w:val="314"/>
          <w:rFonts w:hint="eastAsia" w:ascii="宋体" w:hAnsi="宋体" w:eastAsia="宋体" w:cs="宋体"/>
          <w:sz w:val="24"/>
          <w:szCs w:val="24"/>
          <w:highlight w:val="none"/>
        </w:rPr>
      </w:pPr>
      <w:r>
        <w:rPr>
          <w:rStyle w:val="314"/>
          <w:rFonts w:hint="eastAsia" w:ascii="宋体" w:hAnsi="宋体" w:eastAsia="宋体" w:cs="宋体"/>
          <w:sz w:val="24"/>
          <w:szCs w:val="24"/>
          <w:highlight w:val="none"/>
        </w:rPr>
        <w:t>2</w:t>
      </w:r>
      <w:r>
        <w:rPr>
          <w:rStyle w:val="314"/>
          <w:rFonts w:hint="eastAsia" w:ascii="宋体" w:hAnsi="宋体" w:eastAsia="宋体" w:cs="宋体"/>
          <w:sz w:val="24"/>
          <w:szCs w:val="24"/>
          <w:highlight w:val="none"/>
        </w:rPr>
        <w:t>.4.3.1.2</w:t>
      </w:r>
      <w:r>
        <w:rPr>
          <w:rStyle w:val="314"/>
          <w:rFonts w:hint="eastAsia" w:ascii="宋体" w:hAnsi="宋体" w:eastAsia="宋体" w:cs="宋体"/>
          <w:sz w:val="24"/>
          <w:szCs w:val="24"/>
          <w:highlight w:val="none"/>
        </w:rPr>
        <w:t>三防</w:t>
      </w:r>
      <w:r>
        <w:rPr>
          <w:rStyle w:val="314"/>
          <w:rFonts w:hint="eastAsia" w:ascii="宋体" w:hAnsi="宋体" w:eastAsia="宋体" w:cs="宋体"/>
          <w:sz w:val="24"/>
          <w:szCs w:val="24"/>
          <w:highlight w:val="none"/>
        </w:rPr>
        <w:t>(</w:t>
      </w:r>
      <w:r>
        <w:rPr>
          <w:rStyle w:val="314"/>
          <w:rFonts w:hint="eastAsia" w:ascii="宋体" w:hAnsi="宋体" w:eastAsia="宋体" w:cs="宋体"/>
          <w:sz w:val="24"/>
          <w:szCs w:val="24"/>
          <w:highlight w:val="none"/>
        </w:rPr>
        <w:t>防潮湿，防霉变，防盐雾</w:t>
      </w:r>
      <w:r>
        <w:rPr>
          <w:rStyle w:val="314"/>
          <w:rFonts w:hint="eastAsia" w:ascii="宋体" w:hAnsi="宋体" w:eastAsia="宋体" w:cs="宋体"/>
          <w:sz w:val="24"/>
          <w:szCs w:val="24"/>
          <w:highlight w:val="none"/>
        </w:rPr>
        <w:t>)</w:t>
      </w:r>
      <w:r>
        <w:rPr>
          <w:rStyle w:val="314"/>
          <w:rFonts w:hint="eastAsia" w:ascii="宋体" w:hAnsi="宋体" w:eastAsia="宋体" w:cs="宋体"/>
          <w:sz w:val="24"/>
          <w:szCs w:val="24"/>
          <w:highlight w:val="none"/>
        </w:rPr>
        <w:t>保护：充电桩内印刷线路板、接插件等电路应具有防潮湿、防霉变、防盐雾处理，保证充电桩在潮湿、盐雾环境下正常运行。</w:t>
      </w:r>
    </w:p>
    <w:p w14:paraId="167C0AFE">
      <w:pPr>
        <w:tabs>
          <w:tab w:val="left" w:pos="1134"/>
        </w:tabs>
        <w:spacing w:line="360" w:lineRule="auto"/>
        <w:ind w:firstLine="480" w:firstLineChars="200"/>
        <w:rPr>
          <w:rFonts w:hint="eastAsia" w:ascii="宋体" w:hAnsi="宋体" w:eastAsia="宋体" w:cs="宋体"/>
          <w:sz w:val="24"/>
          <w:szCs w:val="24"/>
        </w:rPr>
      </w:pPr>
      <w:r>
        <w:rPr>
          <w:rStyle w:val="314"/>
          <w:rFonts w:hint="eastAsia" w:ascii="宋体" w:hAnsi="宋体" w:eastAsia="宋体" w:cs="宋体"/>
          <w:sz w:val="24"/>
          <w:szCs w:val="24"/>
          <w:highlight w:val="none"/>
        </w:rPr>
        <w:t>2</w:t>
      </w:r>
      <w:r>
        <w:rPr>
          <w:rStyle w:val="314"/>
          <w:rFonts w:hint="eastAsia" w:ascii="宋体" w:hAnsi="宋体" w:eastAsia="宋体" w:cs="宋体"/>
          <w:sz w:val="24"/>
          <w:szCs w:val="24"/>
          <w:highlight w:val="none"/>
        </w:rPr>
        <w:t>.4.3.1.3</w:t>
      </w:r>
      <w:r>
        <w:rPr>
          <w:rFonts w:hint="eastAsia" w:ascii="宋体" w:hAnsi="宋体" w:eastAsia="宋体" w:cs="宋体"/>
          <w:sz w:val="24"/>
          <w:szCs w:val="24"/>
          <w:highlight w:val="none"/>
        </w:rPr>
        <w:t>防锈</w:t>
      </w:r>
      <w:r>
        <w:rPr>
          <w:rFonts w:hint="eastAsia" w:ascii="宋体" w:hAnsi="宋体" w:eastAsia="宋体" w:cs="宋体"/>
          <w:sz w:val="24"/>
          <w:szCs w:val="24"/>
          <w:highlight w:val="none"/>
        </w:rPr>
        <w:t>(</w:t>
      </w:r>
      <w:r>
        <w:rPr>
          <w:rFonts w:hint="eastAsia" w:ascii="宋体" w:hAnsi="宋体" w:eastAsia="宋体" w:cs="宋体"/>
          <w:sz w:val="24"/>
          <w:szCs w:val="24"/>
          <w:highlight w:val="none"/>
        </w:rPr>
        <w:t>防氧化</w:t>
      </w:r>
      <w:r>
        <w:rPr>
          <w:rFonts w:hint="eastAsia" w:ascii="宋体" w:hAnsi="宋体" w:eastAsia="宋体" w:cs="宋体"/>
          <w:sz w:val="24"/>
          <w:szCs w:val="24"/>
          <w:highlight w:val="none"/>
        </w:rPr>
        <w:t>)</w:t>
      </w:r>
      <w:r>
        <w:rPr>
          <w:rFonts w:hint="eastAsia" w:ascii="宋体" w:hAnsi="宋体" w:eastAsia="宋体" w:cs="宋体"/>
          <w:sz w:val="24"/>
          <w:szCs w:val="24"/>
          <w:highlight w:val="none"/>
        </w:rPr>
        <w:t>保护：充电桩铁质外壳和暴露的铁质支</w:t>
      </w:r>
      <w:r>
        <w:rPr>
          <w:rFonts w:hint="eastAsia" w:ascii="宋体" w:hAnsi="宋体" w:eastAsia="宋体" w:cs="宋体"/>
          <w:sz w:val="24"/>
          <w:szCs w:val="24"/>
        </w:rPr>
        <w:t>架、零件应采用双层防锈措施，非铁质的金属外壳也应具有防氧化保护膜或防氧化处理。</w:t>
      </w:r>
    </w:p>
    <w:p w14:paraId="6F78508B">
      <w:pPr>
        <w:pStyle w:val="7"/>
        <w:tabs>
          <w:tab w:val="left" w:pos="525"/>
          <w:tab w:val="left" w:pos="1140"/>
        </w:tabs>
        <w:spacing w:line="360" w:lineRule="auto"/>
        <w:ind w:firstLine="480" w:firstLineChars="200"/>
        <w:rPr>
          <w:rStyle w:val="314"/>
          <w:rFonts w:hint="eastAsia" w:ascii="宋体" w:hAnsi="宋体" w:eastAsia="宋体" w:cs="宋体"/>
          <w:sz w:val="24"/>
          <w:szCs w:val="24"/>
        </w:rPr>
      </w:pPr>
      <w:r>
        <w:rPr>
          <w:rStyle w:val="314"/>
          <w:rFonts w:hint="eastAsia" w:ascii="宋体" w:hAnsi="宋体" w:eastAsia="宋体" w:cs="宋体"/>
          <w:sz w:val="24"/>
          <w:szCs w:val="24"/>
        </w:rPr>
        <w:t>2</w:t>
      </w:r>
      <w:r>
        <w:rPr>
          <w:rStyle w:val="314"/>
          <w:rFonts w:hint="eastAsia" w:ascii="宋体" w:hAnsi="宋体" w:eastAsia="宋体" w:cs="宋体"/>
          <w:sz w:val="24"/>
          <w:szCs w:val="24"/>
        </w:rPr>
        <w:t>.4.3.2</w:t>
      </w:r>
      <w:r>
        <w:rPr>
          <w:rStyle w:val="314"/>
          <w:rFonts w:hint="eastAsia" w:ascii="宋体" w:hAnsi="宋体" w:eastAsia="宋体" w:cs="宋体"/>
          <w:sz w:val="24"/>
          <w:szCs w:val="24"/>
        </w:rPr>
        <w:t>电击防护要求</w:t>
      </w:r>
    </w:p>
    <w:p w14:paraId="5FBD80A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充电桩的电击防护要求应符合GB/T 18487.1-2001中第9章的要求</w:t>
      </w:r>
      <w:r>
        <w:rPr>
          <w:rFonts w:hint="eastAsia" w:ascii="宋体" w:hAnsi="宋体" w:eastAsia="宋体" w:cs="宋体"/>
          <w:sz w:val="24"/>
          <w:szCs w:val="24"/>
        </w:rPr>
        <w:t>。</w:t>
      </w:r>
    </w:p>
    <w:p w14:paraId="27E9E369">
      <w:pPr>
        <w:pStyle w:val="7"/>
        <w:tabs>
          <w:tab w:val="left" w:pos="525"/>
          <w:tab w:val="left" w:pos="1140"/>
        </w:tabs>
        <w:spacing w:line="360" w:lineRule="auto"/>
        <w:ind w:firstLine="480" w:firstLineChars="200"/>
        <w:rPr>
          <w:rStyle w:val="314"/>
          <w:rFonts w:hint="eastAsia" w:ascii="宋体" w:hAnsi="宋体" w:eastAsia="宋体" w:cs="宋体"/>
          <w:sz w:val="24"/>
          <w:szCs w:val="24"/>
        </w:rPr>
      </w:pPr>
      <w:r>
        <w:rPr>
          <w:rStyle w:val="314"/>
          <w:rFonts w:hint="eastAsia" w:ascii="宋体" w:hAnsi="宋体" w:eastAsia="宋体" w:cs="宋体"/>
          <w:sz w:val="24"/>
          <w:szCs w:val="24"/>
        </w:rPr>
        <w:t>2</w:t>
      </w:r>
      <w:r>
        <w:rPr>
          <w:rStyle w:val="314"/>
          <w:rFonts w:hint="eastAsia" w:ascii="宋体" w:hAnsi="宋体" w:eastAsia="宋体" w:cs="宋体"/>
          <w:sz w:val="24"/>
          <w:szCs w:val="24"/>
        </w:rPr>
        <w:t>.4.3.3</w:t>
      </w:r>
      <w:r>
        <w:rPr>
          <w:rStyle w:val="314"/>
          <w:rFonts w:hint="eastAsia" w:ascii="宋体" w:hAnsi="宋体" w:eastAsia="宋体" w:cs="宋体"/>
          <w:sz w:val="24"/>
          <w:szCs w:val="24"/>
        </w:rPr>
        <w:t>电气间隙和爬电距离</w:t>
      </w:r>
    </w:p>
    <w:p w14:paraId="22D5B9D2">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充电桩的电气间隙和爬电距离应符合表2的规定。</w:t>
      </w:r>
    </w:p>
    <w:p w14:paraId="4BE19287">
      <w:pPr>
        <w:widowControl/>
        <w:spacing w:line="360" w:lineRule="auto"/>
        <w:ind w:firstLine="480" w:firstLineChars="200"/>
        <w:jc w:val="center"/>
        <w:rPr>
          <w:rFonts w:hint="eastAsia" w:ascii="宋体" w:hAnsi="宋体" w:eastAsia="宋体" w:cs="宋体"/>
          <w:kern w:val="0"/>
          <w:sz w:val="24"/>
          <w:szCs w:val="24"/>
        </w:rPr>
      </w:pPr>
      <w:r>
        <w:rPr>
          <w:rFonts w:hint="eastAsia" w:ascii="宋体" w:hAnsi="宋体" w:eastAsia="宋体" w:cs="宋体"/>
          <w:kern w:val="0"/>
          <w:sz w:val="24"/>
          <w:szCs w:val="24"/>
        </w:rPr>
        <w:t>表2  电气间隙和爬电距离</w:t>
      </w:r>
    </w:p>
    <w:tbl>
      <w:tblPr>
        <w:tblStyle w:val="38"/>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184"/>
        <w:gridCol w:w="2894"/>
        <w:gridCol w:w="3040"/>
      </w:tblGrid>
      <w:tr w14:paraId="6E24C1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84" w:type="dxa"/>
            <w:tcBorders>
              <w:top w:val="single" w:color="auto" w:sz="8" w:space="0"/>
              <w:bottom w:val="single" w:color="auto" w:sz="8" w:space="0"/>
            </w:tcBorders>
            <w:vAlign w:val="center"/>
          </w:tcPr>
          <w:p w14:paraId="4A160964">
            <w:pPr>
              <w:widowControl/>
              <w:spacing w:line="360" w:lineRule="auto"/>
              <w:jc w:val="center"/>
              <w:rPr>
                <w:rFonts w:hint="eastAsia" w:ascii="宋体" w:hAnsi="宋体" w:eastAsia="宋体" w:cs="宋体"/>
                <w:i/>
                <w:kern w:val="0"/>
                <w:sz w:val="24"/>
                <w:szCs w:val="24"/>
              </w:rPr>
            </w:pPr>
            <w:r>
              <w:rPr>
                <w:rFonts w:hint="eastAsia" w:ascii="宋体" w:hAnsi="宋体" w:eastAsia="宋体" w:cs="宋体"/>
                <w:kern w:val="0"/>
                <w:sz w:val="24"/>
                <w:szCs w:val="24"/>
              </w:rPr>
              <w:t>额定绝缘电压Ui</w:t>
            </w:r>
          </w:p>
          <w:p w14:paraId="575F46BD">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（V）</w:t>
            </w:r>
          </w:p>
        </w:tc>
        <w:tc>
          <w:tcPr>
            <w:tcW w:w="2894" w:type="dxa"/>
            <w:tcBorders>
              <w:top w:val="single" w:color="auto" w:sz="8" w:space="0"/>
              <w:bottom w:val="single" w:color="auto" w:sz="8" w:space="0"/>
            </w:tcBorders>
            <w:vAlign w:val="center"/>
          </w:tcPr>
          <w:p w14:paraId="4E6B379A">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电气间隙</w:t>
            </w:r>
          </w:p>
          <w:p w14:paraId="11B55BE8">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（mm）</w:t>
            </w:r>
          </w:p>
        </w:tc>
        <w:tc>
          <w:tcPr>
            <w:tcW w:w="3040" w:type="dxa"/>
            <w:tcBorders>
              <w:top w:val="single" w:color="auto" w:sz="8" w:space="0"/>
              <w:bottom w:val="single" w:color="auto" w:sz="8" w:space="0"/>
            </w:tcBorders>
            <w:vAlign w:val="center"/>
          </w:tcPr>
          <w:p w14:paraId="4AAAC447">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爬电距离</w:t>
            </w:r>
          </w:p>
          <w:p w14:paraId="3024E0C9">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（mm）</w:t>
            </w:r>
          </w:p>
        </w:tc>
      </w:tr>
      <w:tr w14:paraId="0E856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48" w:hRule="atLeast"/>
        </w:trPr>
        <w:tc>
          <w:tcPr>
            <w:tcW w:w="3184" w:type="dxa"/>
            <w:tcBorders>
              <w:top w:val="single" w:color="auto" w:sz="8" w:space="0"/>
              <w:bottom w:val="single" w:color="auto" w:sz="8" w:space="0"/>
            </w:tcBorders>
            <w:vAlign w:val="center"/>
          </w:tcPr>
          <w:p w14:paraId="3B74D050">
            <w:pPr>
              <w:widowControl/>
              <w:spacing w:line="360" w:lineRule="auto"/>
              <w:jc w:val="center"/>
              <w:rPr>
                <w:rFonts w:hint="eastAsia" w:ascii="宋体" w:hAnsi="宋体" w:eastAsia="宋体" w:cs="宋体"/>
                <w:sz w:val="24"/>
                <w:szCs w:val="24"/>
              </w:rPr>
            </w:pPr>
            <w:r>
              <w:rPr>
                <w:rFonts w:hint="eastAsia" w:ascii="宋体" w:hAnsi="宋体" w:eastAsia="宋体" w:cs="宋体"/>
                <w:i/>
                <w:sz w:val="24"/>
                <w:szCs w:val="24"/>
              </w:rPr>
              <w:t>Ui</w:t>
            </w:r>
            <w:r>
              <w:rPr>
                <w:rFonts w:hint="eastAsia" w:ascii="宋体" w:hAnsi="宋体" w:eastAsia="宋体" w:cs="宋体"/>
                <w:sz w:val="24"/>
                <w:szCs w:val="24"/>
              </w:rPr>
              <w:t>≤60</w:t>
            </w:r>
          </w:p>
        </w:tc>
        <w:tc>
          <w:tcPr>
            <w:tcW w:w="2894" w:type="dxa"/>
            <w:tcBorders>
              <w:top w:val="single" w:color="auto" w:sz="8" w:space="0"/>
              <w:bottom w:val="single" w:color="auto" w:sz="8" w:space="0"/>
            </w:tcBorders>
            <w:vAlign w:val="center"/>
          </w:tcPr>
          <w:p w14:paraId="725D3B38">
            <w:pPr>
              <w:widowControl/>
              <w:spacing w:line="360" w:lineRule="auto"/>
              <w:jc w:val="center"/>
              <w:rPr>
                <w:rFonts w:hint="eastAsia" w:ascii="宋体" w:hAnsi="宋体" w:eastAsia="宋体" w:cs="宋体"/>
                <w:sz w:val="24"/>
                <w:szCs w:val="24"/>
              </w:rPr>
            </w:pPr>
            <w:r>
              <w:rPr>
                <w:rFonts w:hint="eastAsia" w:ascii="宋体" w:hAnsi="宋体" w:eastAsia="宋体" w:cs="宋体"/>
                <w:sz w:val="24"/>
                <w:szCs w:val="24"/>
              </w:rPr>
              <w:t>3</w:t>
            </w:r>
          </w:p>
        </w:tc>
        <w:tc>
          <w:tcPr>
            <w:tcW w:w="3040" w:type="dxa"/>
            <w:tcBorders>
              <w:top w:val="single" w:color="auto" w:sz="8" w:space="0"/>
              <w:bottom w:val="single" w:color="auto" w:sz="8" w:space="0"/>
            </w:tcBorders>
            <w:vAlign w:val="center"/>
          </w:tcPr>
          <w:p w14:paraId="1FA6208A">
            <w:pPr>
              <w:widowControl/>
              <w:spacing w:line="360" w:lineRule="auto"/>
              <w:jc w:val="center"/>
              <w:rPr>
                <w:rFonts w:hint="eastAsia" w:ascii="宋体" w:hAnsi="宋体" w:eastAsia="宋体" w:cs="宋体"/>
                <w:sz w:val="24"/>
                <w:szCs w:val="24"/>
              </w:rPr>
            </w:pPr>
            <w:r>
              <w:rPr>
                <w:rFonts w:hint="eastAsia" w:ascii="宋体" w:hAnsi="宋体" w:eastAsia="宋体" w:cs="宋体"/>
                <w:sz w:val="24"/>
                <w:szCs w:val="24"/>
              </w:rPr>
              <w:t>3</w:t>
            </w:r>
          </w:p>
        </w:tc>
      </w:tr>
      <w:tr w14:paraId="382CEF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0" w:hRule="atLeast"/>
        </w:trPr>
        <w:tc>
          <w:tcPr>
            <w:tcW w:w="3184" w:type="dxa"/>
            <w:tcBorders>
              <w:top w:val="single" w:color="auto" w:sz="8" w:space="0"/>
              <w:bottom w:val="single" w:color="auto" w:sz="8" w:space="0"/>
            </w:tcBorders>
            <w:vAlign w:val="center"/>
          </w:tcPr>
          <w:p w14:paraId="72E608B8">
            <w:pPr>
              <w:widowControl/>
              <w:spacing w:line="360" w:lineRule="auto"/>
              <w:jc w:val="center"/>
              <w:rPr>
                <w:rFonts w:hint="eastAsia" w:ascii="宋体" w:hAnsi="宋体" w:eastAsia="宋体" w:cs="宋体"/>
                <w:sz w:val="24"/>
                <w:szCs w:val="24"/>
              </w:rPr>
            </w:pPr>
            <w:r>
              <w:rPr>
                <w:rFonts w:hint="eastAsia" w:ascii="宋体" w:hAnsi="宋体" w:eastAsia="宋体" w:cs="宋体"/>
                <w:sz w:val="24"/>
                <w:szCs w:val="24"/>
              </w:rPr>
              <w:t>60＜</w:t>
            </w:r>
            <w:r>
              <w:rPr>
                <w:rFonts w:hint="eastAsia" w:ascii="宋体" w:hAnsi="宋体" w:eastAsia="宋体" w:cs="宋体"/>
                <w:i/>
                <w:sz w:val="24"/>
                <w:szCs w:val="24"/>
              </w:rPr>
              <w:t>Ui</w:t>
            </w:r>
            <w:r>
              <w:rPr>
                <w:rFonts w:hint="eastAsia" w:ascii="宋体" w:hAnsi="宋体" w:eastAsia="宋体" w:cs="宋体"/>
                <w:sz w:val="24"/>
                <w:szCs w:val="24"/>
              </w:rPr>
              <w:t>≤300</w:t>
            </w:r>
          </w:p>
        </w:tc>
        <w:tc>
          <w:tcPr>
            <w:tcW w:w="2894" w:type="dxa"/>
            <w:tcBorders>
              <w:top w:val="single" w:color="auto" w:sz="8" w:space="0"/>
              <w:bottom w:val="single" w:color="auto" w:sz="8" w:space="0"/>
            </w:tcBorders>
            <w:vAlign w:val="center"/>
          </w:tcPr>
          <w:p w14:paraId="47849945">
            <w:pPr>
              <w:widowControl/>
              <w:spacing w:line="360" w:lineRule="auto"/>
              <w:jc w:val="center"/>
              <w:rPr>
                <w:rFonts w:hint="eastAsia" w:ascii="宋体" w:hAnsi="宋体" w:eastAsia="宋体" w:cs="宋体"/>
                <w:sz w:val="24"/>
                <w:szCs w:val="24"/>
              </w:rPr>
            </w:pPr>
            <w:r>
              <w:rPr>
                <w:rFonts w:hint="eastAsia" w:ascii="宋体" w:hAnsi="宋体" w:eastAsia="宋体" w:cs="宋体"/>
                <w:sz w:val="24"/>
                <w:szCs w:val="24"/>
              </w:rPr>
              <w:t>5</w:t>
            </w:r>
          </w:p>
        </w:tc>
        <w:tc>
          <w:tcPr>
            <w:tcW w:w="3040" w:type="dxa"/>
            <w:tcBorders>
              <w:top w:val="single" w:color="auto" w:sz="8" w:space="0"/>
              <w:bottom w:val="single" w:color="auto" w:sz="8" w:space="0"/>
            </w:tcBorders>
            <w:vAlign w:val="center"/>
          </w:tcPr>
          <w:p w14:paraId="585705B3">
            <w:pPr>
              <w:widowControl/>
              <w:spacing w:line="360" w:lineRule="auto"/>
              <w:jc w:val="center"/>
              <w:rPr>
                <w:rFonts w:hint="eastAsia" w:ascii="宋体" w:hAnsi="宋体" w:eastAsia="宋体" w:cs="宋体"/>
                <w:sz w:val="24"/>
                <w:szCs w:val="24"/>
              </w:rPr>
            </w:pPr>
            <w:r>
              <w:rPr>
                <w:rFonts w:hint="eastAsia" w:ascii="宋体" w:hAnsi="宋体" w:eastAsia="宋体" w:cs="宋体"/>
                <w:sz w:val="24"/>
                <w:szCs w:val="24"/>
              </w:rPr>
              <w:t>6</w:t>
            </w:r>
          </w:p>
        </w:tc>
      </w:tr>
      <w:tr w14:paraId="67E866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8" w:hRule="atLeast"/>
        </w:trPr>
        <w:tc>
          <w:tcPr>
            <w:tcW w:w="3184" w:type="dxa"/>
            <w:tcBorders>
              <w:top w:val="single" w:color="auto" w:sz="8" w:space="0"/>
              <w:bottom w:val="single" w:color="auto" w:sz="8" w:space="0"/>
            </w:tcBorders>
            <w:vAlign w:val="center"/>
          </w:tcPr>
          <w:p w14:paraId="4E928B86">
            <w:pPr>
              <w:widowControl/>
              <w:spacing w:line="360" w:lineRule="auto"/>
              <w:jc w:val="center"/>
              <w:rPr>
                <w:rFonts w:hint="eastAsia" w:ascii="宋体" w:hAnsi="宋体" w:eastAsia="宋体" w:cs="宋体"/>
                <w:sz w:val="24"/>
                <w:szCs w:val="24"/>
              </w:rPr>
            </w:pPr>
            <w:r>
              <w:rPr>
                <w:rFonts w:hint="eastAsia" w:ascii="宋体" w:hAnsi="宋体" w:eastAsia="宋体" w:cs="宋体"/>
                <w:sz w:val="24"/>
                <w:szCs w:val="24"/>
              </w:rPr>
              <w:t>300＜</w:t>
            </w:r>
            <w:r>
              <w:rPr>
                <w:rFonts w:hint="eastAsia" w:ascii="宋体" w:hAnsi="宋体" w:eastAsia="宋体" w:cs="宋体"/>
                <w:i/>
                <w:sz w:val="24"/>
                <w:szCs w:val="24"/>
              </w:rPr>
              <w:t>Ui</w:t>
            </w:r>
            <w:r>
              <w:rPr>
                <w:rFonts w:hint="eastAsia" w:ascii="宋体" w:hAnsi="宋体" w:eastAsia="宋体" w:cs="宋体"/>
                <w:sz w:val="24"/>
                <w:szCs w:val="24"/>
              </w:rPr>
              <w:t>≤700</w:t>
            </w:r>
          </w:p>
        </w:tc>
        <w:tc>
          <w:tcPr>
            <w:tcW w:w="2894" w:type="dxa"/>
            <w:tcBorders>
              <w:top w:val="single" w:color="auto" w:sz="8" w:space="0"/>
              <w:bottom w:val="single" w:color="auto" w:sz="8" w:space="0"/>
            </w:tcBorders>
            <w:vAlign w:val="center"/>
          </w:tcPr>
          <w:p w14:paraId="492396D4">
            <w:pPr>
              <w:widowControl/>
              <w:spacing w:line="360" w:lineRule="auto"/>
              <w:jc w:val="center"/>
              <w:rPr>
                <w:rFonts w:hint="eastAsia" w:ascii="宋体" w:hAnsi="宋体" w:eastAsia="宋体" w:cs="宋体"/>
                <w:sz w:val="24"/>
                <w:szCs w:val="24"/>
              </w:rPr>
            </w:pPr>
            <w:r>
              <w:rPr>
                <w:rFonts w:hint="eastAsia" w:ascii="宋体" w:hAnsi="宋体" w:eastAsia="宋体" w:cs="宋体"/>
                <w:sz w:val="24"/>
                <w:szCs w:val="24"/>
              </w:rPr>
              <w:t>8</w:t>
            </w:r>
          </w:p>
        </w:tc>
        <w:tc>
          <w:tcPr>
            <w:tcW w:w="3040" w:type="dxa"/>
            <w:tcBorders>
              <w:top w:val="single" w:color="auto" w:sz="8" w:space="0"/>
              <w:bottom w:val="single" w:color="auto" w:sz="8" w:space="0"/>
            </w:tcBorders>
            <w:vAlign w:val="center"/>
          </w:tcPr>
          <w:p w14:paraId="56C4E444">
            <w:pPr>
              <w:widowControl/>
              <w:spacing w:line="360" w:lineRule="auto"/>
              <w:jc w:val="center"/>
              <w:rPr>
                <w:rFonts w:hint="eastAsia" w:ascii="宋体" w:hAnsi="宋体" w:eastAsia="宋体" w:cs="宋体"/>
                <w:sz w:val="24"/>
                <w:szCs w:val="24"/>
              </w:rPr>
            </w:pPr>
            <w:r>
              <w:rPr>
                <w:rFonts w:hint="eastAsia" w:ascii="宋体" w:hAnsi="宋体" w:eastAsia="宋体" w:cs="宋体"/>
                <w:sz w:val="24"/>
                <w:szCs w:val="24"/>
              </w:rPr>
              <w:t>10</w:t>
            </w:r>
          </w:p>
        </w:tc>
      </w:tr>
      <w:tr w14:paraId="3ADF5D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118" w:type="dxa"/>
            <w:gridSpan w:val="3"/>
            <w:tcBorders>
              <w:top w:val="single" w:color="auto" w:sz="8" w:space="0"/>
              <w:bottom w:val="single" w:color="auto" w:sz="8" w:space="0"/>
            </w:tcBorders>
            <w:vAlign w:val="center"/>
          </w:tcPr>
          <w:p w14:paraId="72E36B7C">
            <w:pPr>
              <w:widowControl/>
              <w:spacing w:line="360" w:lineRule="auto"/>
              <w:rPr>
                <w:rFonts w:hint="eastAsia" w:ascii="宋体" w:hAnsi="宋体" w:eastAsia="宋体" w:cs="宋体"/>
                <w:sz w:val="24"/>
                <w:szCs w:val="24"/>
              </w:rPr>
            </w:pPr>
            <w:r>
              <w:rPr>
                <w:rFonts w:hint="eastAsia" w:ascii="宋体" w:hAnsi="宋体" w:eastAsia="宋体" w:cs="宋体"/>
                <w:sz w:val="24"/>
                <w:szCs w:val="24"/>
              </w:rPr>
              <w:t>注1：当主电路与控制电路或辅助电路的额定绝缘电压不一致时，其电气间隙和爬电距离可分别按其额定值选取。</w:t>
            </w:r>
          </w:p>
          <w:p w14:paraId="586C3CA4">
            <w:pPr>
              <w:widowControl/>
              <w:spacing w:line="360" w:lineRule="auto"/>
              <w:rPr>
                <w:rFonts w:hint="eastAsia" w:ascii="宋体" w:hAnsi="宋体" w:eastAsia="宋体" w:cs="宋体"/>
                <w:sz w:val="24"/>
                <w:szCs w:val="24"/>
              </w:rPr>
            </w:pPr>
            <w:r>
              <w:rPr>
                <w:rFonts w:hint="eastAsia" w:ascii="宋体" w:hAnsi="宋体" w:eastAsia="宋体" w:cs="宋体"/>
                <w:sz w:val="24"/>
                <w:szCs w:val="24"/>
              </w:rPr>
              <w:t>注2：具有不同额定值主电路或控制电路导电部分之间的电气间隙与爬电距离，应按最高额定绝缘电压选取。</w:t>
            </w:r>
          </w:p>
        </w:tc>
      </w:tr>
    </w:tbl>
    <w:p w14:paraId="4DF2F305">
      <w:pPr>
        <w:pStyle w:val="7"/>
        <w:tabs>
          <w:tab w:val="left" w:pos="525"/>
          <w:tab w:val="left" w:pos="1140"/>
        </w:tabs>
        <w:spacing w:line="360" w:lineRule="auto"/>
        <w:ind w:firstLine="480" w:firstLineChars="200"/>
        <w:rPr>
          <w:rStyle w:val="314"/>
          <w:rFonts w:hint="eastAsia" w:ascii="宋体" w:hAnsi="宋体" w:eastAsia="宋体" w:cs="宋体"/>
          <w:sz w:val="24"/>
          <w:szCs w:val="24"/>
        </w:rPr>
      </w:pPr>
      <w:r>
        <w:rPr>
          <w:rStyle w:val="314"/>
          <w:rFonts w:hint="eastAsia" w:ascii="宋体" w:hAnsi="宋体" w:eastAsia="宋体" w:cs="宋体"/>
          <w:sz w:val="24"/>
          <w:szCs w:val="24"/>
        </w:rPr>
        <w:t>2</w:t>
      </w:r>
      <w:r>
        <w:rPr>
          <w:rStyle w:val="314"/>
          <w:rFonts w:hint="eastAsia" w:ascii="宋体" w:hAnsi="宋体" w:eastAsia="宋体" w:cs="宋体"/>
          <w:sz w:val="24"/>
          <w:szCs w:val="24"/>
        </w:rPr>
        <w:t>.4.3.4</w:t>
      </w:r>
      <w:r>
        <w:rPr>
          <w:rStyle w:val="314"/>
          <w:rFonts w:hint="eastAsia" w:ascii="宋体" w:hAnsi="宋体" w:eastAsia="宋体" w:cs="宋体"/>
          <w:sz w:val="24"/>
          <w:szCs w:val="24"/>
        </w:rPr>
        <w:t>绝缘性能要求</w:t>
      </w:r>
    </w:p>
    <w:p w14:paraId="4A3477E7">
      <w:pPr>
        <w:pStyle w:val="7"/>
        <w:tabs>
          <w:tab w:val="left" w:pos="525"/>
          <w:tab w:val="left" w:pos="1140"/>
        </w:tabs>
        <w:spacing w:line="360" w:lineRule="auto"/>
        <w:ind w:firstLine="480" w:firstLineChars="200"/>
        <w:rPr>
          <w:rStyle w:val="314"/>
          <w:rFonts w:hint="eastAsia" w:ascii="宋体" w:hAnsi="宋体" w:eastAsia="宋体" w:cs="宋体"/>
          <w:sz w:val="24"/>
        </w:rPr>
      </w:pPr>
      <w:r>
        <w:rPr>
          <w:rStyle w:val="314"/>
          <w:rFonts w:hint="eastAsia" w:ascii="宋体" w:hAnsi="宋体" w:eastAsia="宋体" w:cs="宋体"/>
          <w:sz w:val="24"/>
          <w:szCs w:val="24"/>
        </w:rPr>
        <w:t>2</w:t>
      </w:r>
      <w:r>
        <w:rPr>
          <w:rStyle w:val="314"/>
          <w:rFonts w:hint="eastAsia" w:ascii="宋体" w:hAnsi="宋体" w:eastAsia="宋体" w:cs="宋体"/>
          <w:sz w:val="24"/>
          <w:szCs w:val="24"/>
        </w:rPr>
        <w:t>.4.3.4.1</w:t>
      </w:r>
      <w:r>
        <w:rPr>
          <w:rStyle w:val="314"/>
          <w:rFonts w:hint="eastAsia" w:ascii="宋体" w:hAnsi="宋体" w:eastAsia="宋体" w:cs="宋体"/>
          <w:sz w:val="24"/>
        </w:rPr>
        <w:t>绝缘电阻：用开路电压为表3规定电压的测试仪器测量，充电桩非电气连接的各带电回路之间、各独立带电回路与地（金属外壳）之间绝缘电阻应大于等于10</w:t>
      </w:r>
      <w:r>
        <w:rPr>
          <w:rStyle w:val="314"/>
          <w:rFonts w:hint="eastAsia" w:ascii="宋体" w:hAnsi="宋体" w:eastAsia="宋体" w:cs="宋体"/>
          <w:sz w:val="24"/>
        </w:rPr>
        <w:t>MΩ</w:t>
      </w:r>
      <w:r>
        <w:rPr>
          <w:rStyle w:val="314"/>
          <w:rFonts w:hint="eastAsia" w:ascii="宋体" w:hAnsi="宋体" w:eastAsia="宋体" w:cs="宋体"/>
          <w:sz w:val="24"/>
        </w:rPr>
        <w:t>。</w:t>
      </w:r>
    </w:p>
    <w:p w14:paraId="5F1F21C0">
      <w:pPr>
        <w:pStyle w:val="7"/>
        <w:tabs>
          <w:tab w:val="left" w:pos="525"/>
          <w:tab w:val="left" w:pos="1140"/>
        </w:tabs>
        <w:spacing w:line="360" w:lineRule="auto"/>
        <w:ind w:firstLine="480" w:firstLineChars="200"/>
        <w:rPr>
          <w:rStyle w:val="314"/>
          <w:rFonts w:hint="eastAsia" w:ascii="宋体" w:hAnsi="宋体" w:eastAsia="宋体" w:cs="宋体"/>
          <w:sz w:val="24"/>
        </w:rPr>
      </w:pPr>
      <w:r>
        <w:rPr>
          <w:rStyle w:val="314"/>
          <w:rFonts w:hint="eastAsia" w:ascii="宋体" w:hAnsi="宋体" w:eastAsia="宋体" w:cs="宋体"/>
          <w:sz w:val="24"/>
          <w:szCs w:val="24"/>
        </w:rPr>
        <w:t>2</w:t>
      </w:r>
      <w:r>
        <w:rPr>
          <w:rStyle w:val="314"/>
          <w:rFonts w:hint="eastAsia" w:ascii="宋体" w:hAnsi="宋体" w:eastAsia="宋体" w:cs="宋体"/>
          <w:sz w:val="24"/>
          <w:szCs w:val="24"/>
        </w:rPr>
        <w:t>.4.3.4.2</w:t>
      </w:r>
      <w:r>
        <w:rPr>
          <w:rStyle w:val="314"/>
          <w:rFonts w:hint="eastAsia" w:ascii="宋体" w:hAnsi="宋体" w:eastAsia="宋体" w:cs="宋体"/>
          <w:sz w:val="24"/>
        </w:rPr>
        <w:t>工频耐压：充电桩非电气连接的各带电回路之间、各独立带电回路与地（金属外壳）之间，按其工作电压应能承受表3所规定历时</w:t>
      </w:r>
      <w:r>
        <w:rPr>
          <w:rStyle w:val="314"/>
          <w:rFonts w:hint="eastAsia" w:ascii="宋体" w:hAnsi="宋体" w:eastAsia="宋体" w:cs="宋体"/>
          <w:sz w:val="24"/>
        </w:rPr>
        <w:t>1</w:t>
      </w:r>
      <w:r>
        <w:rPr>
          <w:rStyle w:val="314"/>
          <w:rFonts w:hint="eastAsia" w:ascii="宋体" w:hAnsi="宋体" w:eastAsia="宋体" w:cs="宋体"/>
          <w:sz w:val="24"/>
        </w:rPr>
        <w:t xml:space="preserve"> </w:t>
      </w:r>
      <w:r>
        <w:rPr>
          <w:rStyle w:val="314"/>
          <w:rFonts w:hint="eastAsia" w:ascii="宋体" w:hAnsi="宋体" w:eastAsia="宋体" w:cs="宋体"/>
          <w:sz w:val="24"/>
        </w:rPr>
        <w:t>min</w:t>
      </w:r>
      <w:r>
        <w:rPr>
          <w:rStyle w:val="314"/>
          <w:rFonts w:hint="eastAsia" w:ascii="宋体" w:hAnsi="宋体" w:eastAsia="宋体" w:cs="宋体"/>
          <w:sz w:val="24"/>
        </w:rPr>
        <w:t>的工频耐压试验（也可采用直流电压，试验电压为交流电压有效值的1.4倍）。试验过程中应无绝缘击穿和闪络现象。</w:t>
      </w:r>
    </w:p>
    <w:p w14:paraId="5BDAA5CF">
      <w:pPr>
        <w:pStyle w:val="7"/>
        <w:tabs>
          <w:tab w:val="left" w:pos="525"/>
          <w:tab w:val="left" w:pos="1140"/>
        </w:tabs>
        <w:spacing w:line="360" w:lineRule="auto"/>
        <w:ind w:firstLine="480" w:firstLineChars="200"/>
        <w:rPr>
          <w:rStyle w:val="314"/>
          <w:rFonts w:hint="eastAsia" w:ascii="宋体" w:hAnsi="宋体" w:eastAsia="宋体" w:cs="宋体"/>
          <w:sz w:val="24"/>
        </w:rPr>
      </w:pPr>
      <w:r>
        <w:rPr>
          <w:rStyle w:val="314"/>
          <w:rFonts w:hint="eastAsia" w:ascii="宋体" w:hAnsi="宋体" w:eastAsia="宋体" w:cs="宋体"/>
          <w:sz w:val="24"/>
          <w:szCs w:val="24"/>
        </w:rPr>
        <w:t>2</w:t>
      </w:r>
      <w:r>
        <w:rPr>
          <w:rStyle w:val="314"/>
          <w:rFonts w:hint="eastAsia" w:ascii="宋体" w:hAnsi="宋体" w:eastAsia="宋体" w:cs="宋体"/>
          <w:sz w:val="24"/>
          <w:szCs w:val="24"/>
        </w:rPr>
        <w:t>.4.3.4.3</w:t>
      </w:r>
      <w:r>
        <w:rPr>
          <w:rStyle w:val="314"/>
          <w:rFonts w:hint="eastAsia" w:ascii="宋体" w:hAnsi="宋体" w:eastAsia="宋体" w:cs="宋体"/>
          <w:sz w:val="24"/>
        </w:rPr>
        <w:t>冲击电压：充电桩各带电回路、各带电电路对地（金属外壳）之间，按其工作电压应能承受表3所规定标准雷电波的短时冲击电压试验。试验过程中应无击穿放电。</w:t>
      </w:r>
    </w:p>
    <w:p w14:paraId="0878D35D">
      <w:pPr>
        <w:widowControl/>
        <w:spacing w:line="360" w:lineRule="auto"/>
        <w:ind w:firstLine="480" w:firstLineChars="200"/>
        <w:jc w:val="center"/>
        <w:rPr>
          <w:rFonts w:hint="eastAsia" w:ascii="宋体" w:hAnsi="宋体" w:eastAsia="宋体" w:cs="宋体"/>
          <w:kern w:val="0"/>
          <w:sz w:val="24"/>
          <w:szCs w:val="24"/>
        </w:rPr>
      </w:pPr>
      <w:r>
        <w:rPr>
          <w:rFonts w:hint="eastAsia" w:ascii="宋体" w:hAnsi="宋体" w:eastAsia="宋体" w:cs="宋体"/>
          <w:kern w:val="0"/>
          <w:sz w:val="24"/>
          <w:szCs w:val="24"/>
        </w:rPr>
        <w:t>表3  绝缘试验的试验等级</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155"/>
        <w:gridCol w:w="2728"/>
        <w:gridCol w:w="2155"/>
        <w:gridCol w:w="1978"/>
      </w:tblGrid>
      <w:tr w14:paraId="5E729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2155" w:type="dxa"/>
            <w:vAlign w:val="center"/>
          </w:tcPr>
          <w:p w14:paraId="62CABC3A">
            <w:pPr>
              <w:autoSpaceDE w:val="0"/>
              <w:autoSpaceDN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额定绝缘电压U</w:t>
            </w:r>
            <w:r>
              <w:rPr>
                <w:rFonts w:hint="eastAsia" w:ascii="宋体" w:hAnsi="宋体" w:eastAsia="宋体" w:cs="宋体"/>
                <w:kern w:val="0"/>
                <w:sz w:val="24"/>
                <w:szCs w:val="24"/>
              </w:rPr>
              <w:t>i</w:t>
            </w:r>
          </w:p>
          <w:p w14:paraId="27D67334">
            <w:pPr>
              <w:autoSpaceDE w:val="0"/>
              <w:autoSpaceDN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w:t>
            </w:r>
            <w:r>
              <w:rPr>
                <w:rFonts w:hint="eastAsia" w:ascii="宋体" w:hAnsi="宋体" w:eastAsia="宋体" w:cs="宋体"/>
                <w:kern w:val="0"/>
                <w:sz w:val="24"/>
                <w:szCs w:val="24"/>
              </w:rPr>
              <w:t>V</w:t>
            </w:r>
            <w:r>
              <w:rPr>
                <w:rFonts w:hint="eastAsia" w:ascii="宋体" w:hAnsi="宋体" w:eastAsia="宋体" w:cs="宋体"/>
                <w:kern w:val="0"/>
                <w:sz w:val="24"/>
                <w:szCs w:val="24"/>
              </w:rPr>
              <w:t>）</w:t>
            </w:r>
          </w:p>
        </w:tc>
        <w:tc>
          <w:tcPr>
            <w:tcW w:w="2728" w:type="dxa"/>
            <w:vAlign w:val="center"/>
          </w:tcPr>
          <w:p w14:paraId="515DDEA8">
            <w:pPr>
              <w:autoSpaceDE w:val="0"/>
              <w:autoSpaceDN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绝缘电阻测试仪器的电压等级</w:t>
            </w:r>
          </w:p>
          <w:p w14:paraId="7822C9ED">
            <w:pPr>
              <w:autoSpaceDE w:val="0"/>
              <w:autoSpaceDN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（V）</w:t>
            </w:r>
          </w:p>
        </w:tc>
        <w:tc>
          <w:tcPr>
            <w:tcW w:w="2155" w:type="dxa"/>
            <w:vAlign w:val="center"/>
          </w:tcPr>
          <w:p w14:paraId="78F07AE5">
            <w:pPr>
              <w:autoSpaceDE w:val="0"/>
              <w:autoSpaceDN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介电强度</w:t>
            </w:r>
          </w:p>
          <w:p w14:paraId="5BFC94FB">
            <w:pPr>
              <w:autoSpaceDE w:val="0"/>
              <w:autoSpaceDN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（k</w:t>
            </w:r>
            <w:r>
              <w:rPr>
                <w:rFonts w:hint="eastAsia" w:ascii="宋体" w:hAnsi="宋体" w:eastAsia="宋体" w:cs="宋体"/>
                <w:kern w:val="0"/>
                <w:sz w:val="24"/>
                <w:szCs w:val="24"/>
              </w:rPr>
              <w:t>V</w:t>
            </w:r>
            <w:r>
              <w:rPr>
                <w:rFonts w:hint="eastAsia" w:ascii="宋体" w:hAnsi="宋体" w:eastAsia="宋体" w:cs="宋体"/>
                <w:kern w:val="0"/>
                <w:sz w:val="24"/>
                <w:szCs w:val="24"/>
              </w:rPr>
              <w:t>）</w:t>
            </w:r>
          </w:p>
        </w:tc>
        <w:tc>
          <w:tcPr>
            <w:tcW w:w="1978" w:type="dxa"/>
            <w:vAlign w:val="center"/>
          </w:tcPr>
          <w:p w14:paraId="067DE473">
            <w:pPr>
              <w:autoSpaceDE w:val="0"/>
              <w:autoSpaceDN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冲击</w:t>
            </w:r>
            <w:r>
              <w:rPr>
                <w:rFonts w:hint="eastAsia" w:ascii="宋体" w:hAnsi="宋体" w:eastAsia="宋体" w:cs="宋体"/>
                <w:kern w:val="0"/>
                <w:sz w:val="24"/>
                <w:szCs w:val="24"/>
              </w:rPr>
              <w:t>耐压试验</w:t>
            </w:r>
            <w:r>
              <w:rPr>
                <w:rFonts w:hint="eastAsia" w:ascii="宋体" w:hAnsi="宋体" w:eastAsia="宋体" w:cs="宋体"/>
                <w:kern w:val="0"/>
                <w:sz w:val="24"/>
                <w:szCs w:val="24"/>
              </w:rPr>
              <w:t>电压</w:t>
            </w:r>
          </w:p>
          <w:p w14:paraId="781522B3">
            <w:pPr>
              <w:autoSpaceDE w:val="0"/>
              <w:autoSpaceDN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（k</w:t>
            </w:r>
            <w:r>
              <w:rPr>
                <w:rFonts w:hint="eastAsia" w:ascii="宋体" w:hAnsi="宋体" w:eastAsia="宋体" w:cs="宋体"/>
                <w:kern w:val="0"/>
                <w:sz w:val="24"/>
                <w:szCs w:val="24"/>
              </w:rPr>
              <w:t>V</w:t>
            </w:r>
            <w:r>
              <w:rPr>
                <w:rFonts w:hint="eastAsia" w:ascii="宋体" w:hAnsi="宋体" w:eastAsia="宋体" w:cs="宋体"/>
                <w:kern w:val="0"/>
                <w:sz w:val="24"/>
                <w:szCs w:val="24"/>
              </w:rPr>
              <w:t>）</w:t>
            </w:r>
          </w:p>
        </w:tc>
      </w:tr>
      <w:tr w14:paraId="52418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2155" w:type="dxa"/>
            <w:vAlign w:val="center"/>
          </w:tcPr>
          <w:p w14:paraId="04E5FA10">
            <w:pPr>
              <w:spacing w:line="360" w:lineRule="auto"/>
              <w:jc w:val="center"/>
              <w:rPr>
                <w:rFonts w:hint="eastAsia" w:ascii="宋体" w:hAnsi="宋体" w:eastAsia="宋体" w:cs="宋体"/>
                <w:sz w:val="24"/>
                <w:szCs w:val="24"/>
              </w:rPr>
            </w:pPr>
            <w:r>
              <w:rPr>
                <w:rFonts w:hint="eastAsia" w:ascii="宋体" w:hAnsi="宋体" w:eastAsia="宋体" w:cs="宋体"/>
                <w:sz w:val="24"/>
                <w:szCs w:val="24"/>
              </w:rPr>
              <w:t>≤6</w:t>
            </w:r>
            <w:r>
              <w:rPr>
                <w:rFonts w:hint="eastAsia" w:ascii="宋体" w:hAnsi="宋体" w:eastAsia="宋体" w:cs="宋体"/>
                <w:sz w:val="24"/>
                <w:szCs w:val="24"/>
              </w:rPr>
              <w:t>0</w:t>
            </w:r>
          </w:p>
        </w:tc>
        <w:tc>
          <w:tcPr>
            <w:tcW w:w="2728" w:type="dxa"/>
            <w:vAlign w:val="center"/>
          </w:tcPr>
          <w:p w14:paraId="1BF606DE">
            <w:pPr>
              <w:spacing w:line="360" w:lineRule="auto"/>
              <w:jc w:val="center"/>
              <w:rPr>
                <w:rFonts w:hint="eastAsia" w:ascii="宋体" w:hAnsi="宋体" w:eastAsia="宋体" w:cs="宋体"/>
                <w:sz w:val="24"/>
                <w:szCs w:val="24"/>
              </w:rPr>
            </w:pPr>
            <w:r>
              <w:rPr>
                <w:rFonts w:hint="eastAsia" w:ascii="宋体" w:hAnsi="宋体" w:eastAsia="宋体" w:cs="宋体"/>
                <w:sz w:val="24"/>
                <w:szCs w:val="24"/>
              </w:rPr>
              <w:t>250</w:t>
            </w:r>
          </w:p>
        </w:tc>
        <w:tc>
          <w:tcPr>
            <w:tcW w:w="2155" w:type="dxa"/>
            <w:vMerge w:val="restart"/>
            <w:vAlign w:val="center"/>
          </w:tcPr>
          <w:p w14:paraId="3A476605">
            <w:pPr>
              <w:spacing w:line="360" w:lineRule="auto"/>
              <w:jc w:val="center"/>
              <w:rPr>
                <w:rFonts w:hint="eastAsia" w:ascii="宋体" w:hAnsi="宋体" w:eastAsia="宋体" w:cs="宋体"/>
                <w:sz w:val="24"/>
                <w:szCs w:val="24"/>
              </w:rPr>
            </w:pPr>
            <w:r>
              <w:rPr>
                <w:rFonts w:hint="eastAsia" w:ascii="宋体" w:hAnsi="宋体" w:eastAsia="宋体" w:cs="宋体"/>
                <w:sz w:val="24"/>
                <w:szCs w:val="24"/>
              </w:rPr>
              <w:t>2.0</w:t>
            </w:r>
            <w:r>
              <w:rPr>
                <w:rFonts w:hint="eastAsia" w:ascii="宋体" w:hAnsi="宋体" w:eastAsia="宋体" w:cs="宋体"/>
                <w:sz w:val="24"/>
                <w:szCs w:val="24"/>
              </w:rPr>
              <w:t>（2.8）</w:t>
            </w:r>
          </w:p>
          <w:p w14:paraId="73F87365">
            <w:pPr>
              <w:spacing w:line="360" w:lineRule="auto"/>
              <w:rPr>
                <w:rFonts w:hint="eastAsia" w:ascii="宋体" w:hAnsi="宋体" w:eastAsia="宋体" w:cs="宋体"/>
                <w:sz w:val="24"/>
                <w:szCs w:val="24"/>
              </w:rPr>
            </w:pPr>
          </w:p>
        </w:tc>
        <w:tc>
          <w:tcPr>
            <w:tcW w:w="1978" w:type="dxa"/>
            <w:vAlign w:val="center"/>
          </w:tcPr>
          <w:p w14:paraId="7B612637">
            <w:pPr>
              <w:spacing w:line="360" w:lineRule="auto"/>
              <w:jc w:val="center"/>
              <w:rPr>
                <w:rFonts w:hint="eastAsia" w:ascii="宋体" w:hAnsi="宋体" w:eastAsia="宋体" w:cs="宋体"/>
                <w:sz w:val="24"/>
                <w:szCs w:val="24"/>
              </w:rPr>
            </w:pPr>
            <w:r>
              <w:rPr>
                <w:rFonts w:hint="eastAsia" w:ascii="宋体" w:hAnsi="宋体" w:eastAsia="宋体" w:cs="宋体"/>
                <w:sz w:val="24"/>
                <w:szCs w:val="24"/>
              </w:rPr>
              <w:t>1</w:t>
            </w:r>
          </w:p>
        </w:tc>
      </w:tr>
      <w:tr w14:paraId="6286F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2155" w:type="dxa"/>
            <w:vAlign w:val="center"/>
          </w:tcPr>
          <w:p w14:paraId="1E1CCEED">
            <w:pPr>
              <w:spacing w:line="360" w:lineRule="auto"/>
              <w:jc w:val="center"/>
              <w:rPr>
                <w:rFonts w:hint="eastAsia" w:ascii="宋体" w:hAnsi="宋体" w:eastAsia="宋体" w:cs="宋体"/>
                <w:sz w:val="24"/>
                <w:szCs w:val="24"/>
              </w:rPr>
            </w:pPr>
            <w:r>
              <w:rPr>
                <w:rFonts w:hint="eastAsia" w:ascii="宋体" w:hAnsi="宋体" w:eastAsia="宋体" w:cs="宋体"/>
                <w:sz w:val="24"/>
                <w:szCs w:val="24"/>
              </w:rPr>
              <w:t>6</w:t>
            </w:r>
            <w:r>
              <w:rPr>
                <w:rFonts w:hint="eastAsia" w:ascii="宋体" w:hAnsi="宋体" w:eastAsia="宋体" w:cs="宋体"/>
                <w:sz w:val="24"/>
                <w:szCs w:val="24"/>
              </w:rPr>
              <w:t>0</w:t>
            </w:r>
            <w:r>
              <w:rPr>
                <w:rFonts w:hint="eastAsia" w:ascii="宋体" w:hAnsi="宋体" w:eastAsia="宋体" w:cs="宋体"/>
                <w:sz w:val="24"/>
                <w:szCs w:val="24"/>
              </w:rPr>
              <w:t>＜U</w:t>
            </w:r>
            <w:r>
              <w:rPr>
                <w:rFonts w:hint="eastAsia" w:ascii="宋体" w:hAnsi="宋体" w:eastAsia="宋体" w:cs="宋体"/>
                <w:sz w:val="24"/>
                <w:szCs w:val="24"/>
              </w:rPr>
              <w:t>i</w:t>
            </w:r>
            <w:r>
              <w:rPr>
                <w:rFonts w:hint="eastAsia" w:ascii="宋体" w:hAnsi="宋体" w:eastAsia="宋体" w:cs="宋体"/>
                <w:sz w:val="24"/>
                <w:szCs w:val="24"/>
              </w:rPr>
              <w:t>≤</w:t>
            </w:r>
            <w:r>
              <w:rPr>
                <w:rFonts w:hint="eastAsia" w:ascii="宋体" w:hAnsi="宋体" w:eastAsia="宋体" w:cs="宋体"/>
                <w:sz w:val="24"/>
                <w:szCs w:val="24"/>
              </w:rPr>
              <w:t>300</w:t>
            </w:r>
          </w:p>
        </w:tc>
        <w:tc>
          <w:tcPr>
            <w:tcW w:w="2728" w:type="dxa"/>
            <w:vAlign w:val="center"/>
          </w:tcPr>
          <w:p w14:paraId="0FD98C98">
            <w:pPr>
              <w:spacing w:line="360" w:lineRule="auto"/>
              <w:jc w:val="center"/>
              <w:rPr>
                <w:rFonts w:hint="eastAsia" w:ascii="宋体" w:hAnsi="宋体" w:eastAsia="宋体" w:cs="宋体"/>
                <w:sz w:val="24"/>
                <w:szCs w:val="24"/>
              </w:rPr>
            </w:pPr>
            <w:r>
              <w:rPr>
                <w:rFonts w:hint="eastAsia" w:ascii="宋体" w:hAnsi="宋体" w:eastAsia="宋体" w:cs="宋体"/>
                <w:sz w:val="24"/>
                <w:szCs w:val="24"/>
              </w:rPr>
              <w:t>500</w:t>
            </w:r>
          </w:p>
        </w:tc>
        <w:tc>
          <w:tcPr>
            <w:tcW w:w="2155" w:type="dxa"/>
            <w:vMerge w:val="continue"/>
            <w:vAlign w:val="center"/>
          </w:tcPr>
          <w:p w14:paraId="4A30F1C1">
            <w:pPr>
              <w:spacing w:line="360" w:lineRule="auto"/>
              <w:jc w:val="center"/>
              <w:rPr>
                <w:rFonts w:hint="eastAsia" w:ascii="宋体" w:hAnsi="宋体" w:eastAsia="宋体" w:cs="宋体"/>
                <w:sz w:val="24"/>
                <w:szCs w:val="24"/>
              </w:rPr>
            </w:pPr>
          </w:p>
        </w:tc>
        <w:tc>
          <w:tcPr>
            <w:tcW w:w="1978" w:type="dxa"/>
            <w:vAlign w:val="center"/>
          </w:tcPr>
          <w:p w14:paraId="699A4647">
            <w:pPr>
              <w:spacing w:line="360" w:lineRule="auto"/>
              <w:jc w:val="center"/>
              <w:rPr>
                <w:rFonts w:hint="eastAsia" w:ascii="宋体" w:hAnsi="宋体" w:eastAsia="宋体" w:cs="宋体"/>
                <w:sz w:val="24"/>
                <w:szCs w:val="24"/>
              </w:rPr>
            </w:pPr>
            <w:r>
              <w:rPr>
                <w:rFonts w:hint="eastAsia" w:ascii="宋体" w:hAnsi="宋体" w:eastAsia="宋体" w:cs="宋体"/>
                <w:sz w:val="24"/>
                <w:szCs w:val="24"/>
              </w:rPr>
              <w:t>5</w:t>
            </w:r>
          </w:p>
        </w:tc>
      </w:tr>
      <w:tr w14:paraId="7E90B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016" w:type="dxa"/>
            <w:gridSpan w:val="4"/>
            <w:vAlign w:val="center"/>
          </w:tcPr>
          <w:p w14:paraId="4C52C478">
            <w:pPr>
              <w:spacing w:line="360" w:lineRule="auto"/>
              <w:rPr>
                <w:rFonts w:hint="eastAsia" w:ascii="宋体" w:hAnsi="宋体" w:eastAsia="宋体" w:cs="宋体"/>
                <w:sz w:val="24"/>
                <w:szCs w:val="24"/>
              </w:rPr>
            </w:pPr>
            <w:r>
              <w:rPr>
                <w:rFonts w:hint="eastAsia" w:ascii="宋体" w:hAnsi="宋体" w:eastAsia="宋体" w:cs="宋体"/>
                <w:sz w:val="24"/>
                <w:szCs w:val="24"/>
              </w:rPr>
              <w:t>注：括号内数据为直流介质强度试验值。</w:t>
            </w:r>
          </w:p>
        </w:tc>
      </w:tr>
    </w:tbl>
    <w:p w14:paraId="6B8208C7">
      <w:pPr>
        <w:pStyle w:val="7"/>
        <w:tabs>
          <w:tab w:val="left" w:pos="525"/>
          <w:tab w:val="left" w:pos="1140"/>
        </w:tabs>
        <w:spacing w:line="360" w:lineRule="auto"/>
        <w:ind w:firstLine="480" w:firstLineChars="200"/>
        <w:rPr>
          <w:rStyle w:val="314"/>
          <w:rFonts w:hint="eastAsia" w:ascii="宋体" w:hAnsi="宋体" w:eastAsia="宋体" w:cs="宋体"/>
          <w:sz w:val="24"/>
          <w:szCs w:val="24"/>
        </w:rPr>
      </w:pPr>
      <w:r>
        <w:rPr>
          <w:rStyle w:val="314"/>
          <w:rFonts w:hint="eastAsia" w:ascii="宋体" w:hAnsi="宋体" w:eastAsia="宋体" w:cs="宋体"/>
          <w:sz w:val="24"/>
          <w:szCs w:val="24"/>
        </w:rPr>
        <w:t>2</w:t>
      </w:r>
      <w:r>
        <w:rPr>
          <w:rStyle w:val="314"/>
          <w:rFonts w:hint="eastAsia" w:ascii="宋体" w:hAnsi="宋体" w:eastAsia="宋体" w:cs="宋体"/>
          <w:sz w:val="24"/>
          <w:szCs w:val="24"/>
        </w:rPr>
        <w:t>.4.3.5</w:t>
      </w:r>
      <w:r>
        <w:rPr>
          <w:rStyle w:val="314"/>
          <w:rFonts w:hint="eastAsia" w:ascii="宋体" w:hAnsi="宋体" w:eastAsia="宋体" w:cs="宋体"/>
          <w:sz w:val="24"/>
          <w:szCs w:val="24"/>
        </w:rPr>
        <w:t>高低温和湿热性能</w:t>
      </w:r>
    </w:p>
    <w:p w14:paraId="428F3E7E">
      <w:pPr>
        <w:pStyle w:val="7"/>
        <w:tabs>
          <w:tab w:val="left" w:pos="525"/>
          <w:tab w:val="left" w:pos="1140"/>
        </w:tabs>
        <w:spacing w:line="360" w:lineRule="auto"/>
        <w:ind w:firstLine="480" w:firstLineChars="200"/>
        <w:rPr>
          <w:rStyle w:val="314"/>
          <w:rFonts w:hint="eastAsia" w:ascii="宋体" w:hAnsi="宋体" w:eastAsia="宋体" w:cs="宋体"/>
          <w:sz w:val="24"/>
        </w:rPr>
      </w:pPr>
      <w:r>
        <w:rPr>
          <w:rStyle w:val="314"/>
          <w:rFonts w:hint="eastAsia" w:ascii="宋体" w:hAnsi="宋体" w:eastAsia="宋体" w:cs="宋体"/>
          <w:sz w:val="24"/>
          <w:szCs w:val="24"/>
        </w:rPr>
        <w:t>2</w:t>
      </w:r>
      <w:r>
        <w:rPr>
          <w:rStyle w:val="314"/>
          <w:rFonts w:hint="eastAsia" w:ascii="宋体" w:hAnsi="宋体" w:eastAsia="宋体" w:cs="宋体"/>
          <w:sz w:val="24"/>
          <w:szCs w:val="24"/>
        </w:rPr>
        <w:t>.4.3.5.1</w:t>
      </w:r>
      <w:r>
        <w:rPr>
          <w:rStyle w:val="314"/>
          <w:rFonts w:hint="eastAsia" w:ascii="宋体" w:hAnsi="宋体" w:eastAsia="宋体" w:cs="宋体"/>
          <w:sz w:val="24"/>
        </w:rPr>
        <w:t>低温性能：按</w:t>
      </w:r>
      <w:r>
        <w:rPr>
          <w:rStyle w:val="314"/>
          <w:rFonts w:hint="eastAsia" w:ascii="宋体" w:hAnsi="宋体" w:eastAsia="宋体" w:cs="宋体"/>
          <w:sz w:val="24"/>
        </w:rPr>
        <w:t>GB/T 2423.1-2008</w:t>
      </w:r>
      <w:r>
        <w:rPr>
          <w:rStyle w:val="314"/>
          <w:rFonts w:hint="eastAsia" w:ascii="宋体" w:hAnsi="宋体" w:eastAsia="宋体" w:cs="宋体"/>
          <w:sz w:val="24"/>
        </w:rPr>
        <w:t>中试验</w:t>
      </w:r>
      <w:r>
        <w:rPr>
          <w:rStyle w:val="314"/>
          <w:rFonts w:hint="eastAsia" w:ascii="宋体" w:hAnsi="宋体" w:eastAsia="宋体" w:cs="宋体"/>
          <w:sz w:val="24"/>
        </w:rPr>
        <w:t>Ad</w:t>
      </w:r>
      <w:r>
        <w:rPr>
          <w:rStyle w:val="314"/>
          <w:rFonts w:hint="eastAsia" w:ascii="宋体" w:hAnsi="宋体" w:eastAsia="宋体" w:cs="宋体"/>
          <w:sz w:val="24"/>
        </w:rPr>
        <w:t>规定的方法进行试验，试验温度为-</w:t>
      </w:r>
      <w:r>
        <w:rPr>
          <w:rStyle w:val="314"/>
          <w:rFonts w:hint="eastAsia" w:ascii="宋体" w:hAnsi="宋体" w:eastAsia="宋体" w:cs="宋体"/>
          <w:sz w:val="24"/>
        </w:rPr>
        <w:t>30</w:t>
      </w:r>
      <w:r>
        <w:rPr>
          <w:rStyle w:val="314"/>
          <w:rFonts w:hint="eastAsia" w:ascii="宋体" w:hAnsi="宋体" w:eastAsia="宋体" w:cs="宋体"/>
          <w:sz w:val="24"/>
        </w:rPr>
        <w:t>°</w:t>
      </w:r>
      <w:r>
        <w:rPr>
          <w:rStyle w:val="314"/>
          <w:rFonts w:hint="eastAsia" w:ascii="宋体" w:hAnsi="宋体" w:eastAsia="宋体" w:cs="宋体"/>
          <w:sz w:val="24"/>
        </w:rPr>
        <w:t>C</w:t>
      </w:r>
      <w:r>
        <w:rPr>
          <w:rStyle w:val="314"/>
          <w:rFonts w:hint="eastAsia" w:ascii="宋体" w:hAnsi="宋体" w:eastAsia="宋体" w:cs="宋体"/>
          <w:sz w:val="24"/>
        </w:rPr>
        <w:t>，待达到试验温度后启动充电桩，充电桩应能正常工作。试验温度持续</w:t>
      </w:r>
      <w:r>
        <w:rPr>
          <w:rStyle w:val="314"/>
          <w:rFonts w:hint="eastAsia" w:ascii="宋体" w:hAnsi="宋体" w:eastAsia="宋体" w:cs="宋体"/>
          <w:sz w:val="24"/>
        </w:rPr>
        <w:t>2</w:t>
      </w:r>
      <w:r>
        <w:rPr>
          <w:rStyle w:val="314"/>
          <w:rFonts w:hint="eastAsia" w:ascii="宋体" w:hAnsi="宋体" w:eastAsia="宋体" w:cs="宋体"/>
          <w:sz w:val="24"/>
        </w:rPr>
        <w:t>小时后，在试验环境下通电检查充电桩各项功能应正常。</w:t>
      </w:r>
    </w:p>
    <w:p w14:paraId="40BF9A9F">
      <w:pPr>
        <w:pStyle w:val="7"/>
        <w:tabs>
          <w:tab w:val="left" w:pos="525"/>
          <w:tab w:val="left" w:pos="1140"/>
        </w:tabs>
        <w:spacing w:line="360" w:lineRule="auto"/>
        <w:ind w:firstLine="480" w:firstLineChars="200"/>
        <w:rPr>
          <w:rStyle w:val="314"/>
          <w:rFonts w:hint="eastAsia" w:ascii="宋体" w:hAnsi="宋体" w:eastAsia="宋体" w:cs="宋体"/>
          <w:sz w:val="24"/>
        </w:rPr>
      </w:pPr>
      <w:r>
        <w:rPr>
          <w:rStyle w:val="314"/>
          <w:rFonts w:hint="eastAsia" w:ascii="宋体" w:hAnsi="宋体" w:eastAsia="宋体" w:cs="宋体"/>
          <w:sz w:val="24"/>
          <w:szCs w:val="24"/>
        </w:rPr>
        <w:t>2</w:t>
      </w:r>
      <w:r>
        <w:rPr>
          <w:rStyle w:val="314"/>
          <w:rFonts w:hint="eastAsia" w:ascii="宋体" w:hAnsi="宋体" w:eastAsia="宋体" w:cs="宋体"/>
          <w:sz w:val="24"/>
          <w:szCs w:val="24"/>
        </w:rPr>
        <w:t>.4.3.5.2</w:t>
      </w:r>
      <w:r>
        <w:rPr>
          <w:rStyle w:val="314"/>
          <w:rFonts w:hint="eastAsia" w:ascii="宋体" w:hAnsi="宋体" w:eastAsia="宋体" w:cs="宋体"/>
          <w:sz w:val="24"/>
        </w:rPr>
        <w:t>高温性能：按</w:t>
      </w:r>
      <w:r>
        <w:rPr>
          <w:rStyle w:val="314"/>
          <w:rFonts w:hint="eastAsia" w:ascii="宋体" w:hAnsi="宋体" w:eastAsia="宋体" w:cs="宋体"/>
          <w:sz w:val="24"/>
        </w:rPr>
        <w:t>GB/T 2423.2-2008</w:t>
      </w:r>
      <w:r>
        <w:rPr>
          <w:rStyle w:val="314"/>
          <w:rFonts w:hint="eastAsia" w:ascii="宋体" w:hAnsi="宋体" w:eastAsia="宋体" w:cs="宋体"/>
          <w:sz w:val="24"/>
        </w:rPr>
        <w:t>中试验</w:t>
      </w:r>
      <w:r>
        <w:rPr>
          <w:rStyle w:val="314"/>
          <w:rFonts w:hint="eastAsia" w:ascii="宋体" w:hAnsi="宋体" w:eastAsia="宋体" w:cs="宋体"/>
          <w:sz w:val="24"/>
        </w:rPr>
        <w:t>Bd</w:t>
      </w:r>
      <w:r>
        <w:rPr>
          <w:rStyle w:val="314"/>
          <w:rFonts w:hint="eastAsia" w:ascii="宋体" w:hAnsi="宋体" w:eastAsia="宋体" w:cs="宋体"/>
          <w:sz w:val="24"/>
        </w:rPr>
        <w:t>规定的方法进行试验，试验温度为</w:t>
      </w:r>
      <w:r>
        <w:rPr>
          <w:rStyle w:val="314"/>
          <w:rFonts w:hint="eastAsia" w:ascii="宋体" w:hAnsi="宋体" w:eastAsia="宋体" w:cs="宋体"/>
          <w:sz w:val="24"/>
        </w:rPr>
        <w:t>60</w:t>
      </w:r>
      <w:r>
        <w:rPr>
          <w:rStyle w:val="314"/>
          <w:rFonts w:hint="eastAsia" w:ascii="宋体" w:hAnsi="宋体" w:eastAsia="宋体" w:cs="宋体"/>
          <w:sz w:val="24"/>
        </w:rPr>
        <w:t>°</w:t>
      </w:r>
      <w:r>
        <w:rPr>
          <w:rStyle w:val="314"/>
          <w:rFonts w:hint="eastAsia" w:ascii="宋体" w:hAnsi="宋体" w:eastAsia="宋体" w:cs="宋体"/>
          <w:sz w:val="24"/>
        </w:rPr>
        <w:t>C</w:t>
      </w:r>
      <w:r>
        <w:rPr>
          <w:rStyle w:val="314"/>
          <w:rFonts w:hint="eastAsia" w:ascii="宋体" w:hAnsi="宋体" w:eastAsia="宋体" w:cs="宋体"/>
          <w:sz w:val="24"/>
        </w:rPr>
        <w:t>，待达到试验温度后启动充电桩，充电桩应能正常工作。试验温度持续</w:t>
      </w:r>
      <w:r>
        <w:rPr>
          <w:rStyle w:val="314"/>
          <w:rFonts w:hint="eastAsia" w:ascii="宋体" w:hAnsi="宋体" w:eastAsia="宋体" w:cs="宋体"/>
          <w:sz w:val="24"/>
        </w:rPr>
        <w:t>2</w:t>
      </w:r>
      <w:r>
        <w:rPr>
          <w:rStyle w:val="314"/>
          <w:rFonts w:hint="eastAsia" w:ascii="宋体" w:hAnsi="宋体" w:eastAsia="宋体" w:cs="宋体"/>
          <w:sz w:val="24"/>
        </w:rPr>
        <w:t>小时后，在试验环境下通电检查充电桩各项功能应正常。</w:t>
      </w:r>
    </w:p>
    <w:p w14:paraId="081F0E83">
      <w:pPr>
        <w:pStyle w:val="7"/>
        <w:tabs>
          <w:tab w:val="left" w:pos="525"/>
          <w:tab w:val="left" w:pos="1140"/>
        </w:tabs>
        <w:spacing w:line="360" w:lineRule="auto"/>
        <w:ind w:firstLine="480" w:firstLineChars="200"/>
        <w:rPr>
          <w:rStyle w:val="314"/>
          <w:rFonts w:hint="eastAsia" w:ascii="宋体" w:hAnsi="宋体" w:eastAsia="宋体" w:cs="宋体"/>
          <w:sz w:val="24"/>
        </w:rPr>
      </w:pPr>
      <w:r>
        <w:rPr>
          <w:rStyle w:val="314"/>
          <w:rFonts w:hint="eastAsia" w:ascii="宋体" w:hAnsi="宋体" w:eastAsia="宋体" w:cs="宋体"/>
          <w:sz w:val="24"/>
          <w:szCs w:val="24"/>
        </w:rPr>
        <w:t>2</w:t>
      </w:r>
      <w:r>
        <w:rPr>
          <w:rStyle w:val="314"/>
          <w:rFonts w:hint="eastAsia" w:ascii="宋体" w:hAnsi="宋体" w:eastAsia="宋体" w:cs="宋体"/>
          <w:sz w:val="24"/>
          <w:szCs w:val="24"/>
        </w:rPr>
        <w:t>.4.3.5.3</w:t>
      </w:r>
      <w:r>
        <w:rPr>
          <w:rStyle w:val="314"/>
          <w:rFonts w:hint="eastAsia" w:ascii="宋体" w:hAnsi="宋体" w:eastAsia="宋体" w:cs="宋体"/>
          <w:sz w:val="24"/>
        </w:rPr>
        <w:t>湿热性能：按</w:t>
      </w:r>
      <w:r>
        <w:rPr>
          <w:rStyle w:val="314"/>
          <w:rFonts w:hint="eastAsia" w:ascii="宋体" w:hAnsi="宋体" w:eastAsia="宋体" w:cs="宋体"/>
          <w:sz w:val="24"/>
        </w:rPr>
        <w:t>GB/T 2423.</w:t>
      </w:r>
      <w:r>
        <w:rPr>
          <w:rStyle w:val="314"/>
          <w:rFonts w:hint="eastAsia" w:ascii="宋体" w:hAnsi="宋体" w:eastAsia="宋体" w:cs="宋体"/>
          <w:sz w:val="24"/>
        </w:rPr>
        <w:t>4</w:t>
      </w:r>
      <w:r>
        <w:rPr>
          <w:rStyle w:val="314"/>
          <w:rFonts w:hint="eastAsia" w:ascii="宋体" w:hAnsi="宋体" w:eastAsia="宋体" w:cs="宋体"/>
          <w:sz w:val="24"/>
        </w:rPr>
        <w:t>-200</w:t>
      </w:r>
      <w:r>
        <w:rPr>
          <w:rStyle w:val="314"/>
          <w:rFonts w:hint="eastAsia" w:ascii="宋体" w:hAnsi="宋体" w:eastAsia="宋体" w:cs="宋体"/>
          <w:sz w:val="24"/>
        </w:rPr>
        <w:t>8中试验D</w:t>
      </w:r>
      <w:r>
        <w:rPr>
          <w:rStyle w:val="314"/>
          <w:rFonts w:hint="eastAsia" w:ascii="宋体" w:hAnsi="宋体" w:eastAsia="宋体" w:cs="宋体"/>
          <w:sz w:val="24"/>
        </w:rPr>
        <w:t>b</w:t>
      </w:r>
      <w:r>
        <w:rPr>
          <w:rStyle w:val="314"/>
          <w:rFonts w:hint="eastAsia" w:ascii="宋体" w:hAnsi="宋体" w:eastAsia="宋体" w:cs="宋体"/>
          <w:sz w:val="24"/>
        </w:rPr>
        <w:t>规定的方法进行试验，试验温度为（</w:t>
      </w:r>
      <w:r>
        <w:rPr>
          <w:rStyle w:val="314"/>
          <w:rFonts w:hint="eastAsia" w:ascii="宋体" w:hAnsi="宋体" w:eastAsia="宋体" w:cs="宋体"/>
          <w:sz w:val="24"/>
        </w:rPr>
        <w:t>40</w:t>
      </w:r>
      <w:r>
        <w:rPr>
          <w:rStyle w:val="314"/>
          <w:rFonts w:hint="eastAsia" w:ascii="宋体" w:hAnsi="宋体" w:eastAsia="宋体" w:cs="宋体"/>
          <w:sz w:val="24"/>
        </w:rPr>
        <w:t>±2）℃，循环次数为2次，在试验结束前</w:t>
      </w:r>
      <w:r>
        <w:rPr>
          <w:rStyle w:val="314"/>
          <w:rFonts w:hint="eastAsia" w:ascii="宋体" w:hAnsi="宋体" w:eastAsia="宋体" w:cs="宋体"/>
          <w:sz w:val="24"/>
        </w:rPr>
        <w:t>2h</w:t>
      </w:r>
      <w:r>
        <w:rPr>
          <w:rStyle w:val="314"/>
          <w:rFonts w:hint="eastAsia" w:ascii="宋体" w:hAnsi="宋体" w:eastAsia="宋体" w:cs="宋体"/>
          <w:sz w:val="24"/>
        </w:rPr>
        <w:t>进行绝缘电阻和介电强度检测，其中绝缘电阻不应小于1MΩ，介电强度按表3规定值的75％施加测量电压。试验结束后，恢复至正常大气条件，通电检查充电桩各项功能应正常。</w:t>
      </w:r>
    </w:p>
    <w:p w14:paraId="6D4B6F6B">
      <w:pPr>
        <w:pStyle w:val="7"/>
        <w:tabs>
          <w:tab w:val="left" w:pos="525"/>
          <w:tab w:val="left" w:pos="1140"/>
        </w:tabs>
        <w:spacing w:line="360" w:lineRule="auto"/>
        <w:ind w:firstLine="480" w:firstLineChars="200"/>
        <w:rPr>
          <w:rStyle w:val="314"/>
          <w:rFonts w:hint="eastAsia" w:ascii="宋体" w:hAnsi="宋体" w:eastAsia="宋体" w:cs="宋体"/>
          <w:sz w:val="24"/>
          <w:szCs w:val="24"/>
        </w:rPr>
      </w:pPr>
      <w:r>
        <w:rPr>
          <w:rStyle w:val="314"/>
          <w:rFonts w:hint="eastAsia" w:ascii="宋体" w:hAnsi="宋体" w:eastAsia="宋体" w:cs="宋体"/>
          <w:sz w:val="24"/>
          <w:szCs w:val="24"/>
        </w:rPr>
        <w:t>2</w:t>
      </w:r>
      <w:r>
        <w:rPr>
          <w:rStyle w:val="314"/>
          <w:rFonts w:hint="eastAsia" w:ascii="宋体" w:hAnsi="宋体" w:eastAsia="宋体" w:cs="宋体"/>
          <w:sz w:val="24"/>
          <w:szCs w:val="24"/>
        </w:rPr>
        <w:t>.4.3.6</w:t>
      </w:r>
      <w:r>
        <w:rPr>
          <w:rStyle w:val="314"/>
          <w:rFonts w:hint="eastAsia" w:ascii="宋体" w:hAnsi="宋体" w:eastAsia="宋体" w:cs="宋体"/>
          <w:sz w:val="24"/>
          <w:szCs w:val="24"/>
        </w:rPr>
        <w:t>机械强度</w:t>
      </w:r>
    </w:p>
    <w:p w14:paraId="5E6AF408">
      <w:pPr>
        <w:tabs>
          <w:tab w:val="left" w:pos="114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按</w:t>
      </w:r>
      <w:r>
        <w:rPr>
          <w:rFonts w:hint="eastAsia" w:ascii="宋体" w:hAnsi="宋体" w:eastAsia="宋体" w:cs="宋体"/>
          <w:sz w:val="24"/>
          <w:szCs w:val="24"/>
        </w:rPr>
        <w:t>GB/T 2423.55</w:t>
      </w:r>
      <w:r>
        <w:rPr>
          <w:rFonts w:hint="eastAsia" w:ascii="宋体" w:hAnsi="宋体" w:eastAsia="宋体" w:cs="宋体"/>
          <w:sz w:val="24"/>
          <w:szCs w:val="24"/>
        </w:rPr>
        <w:t>-2006规定的方法用弹簧锤进行机械强度试验，撞击能量为0.7J。试验结束后，检查充电桩壳体没有损坏或损坏时不触及带电部件及影响交流充电桩的使用，操作机构没有损坏，绝缘材料的敷层和护套没有损坏。</w:t>
      </w:r>
    </w:p>
    <w:p w14:paraId="3A3463F0">
      <w:pPr>
        <w:pStyle w:val="7"/>
        <w:tabs>
          <w:tab w:val="left" w:pos="525"/>
          <w:tab w:val="left" w:pos="1140"/>
        </w:tabs>
        <w:spacing w:line="360" w:lineRule="auto"/>
        <w:ind w:firstLine="480" w:firstLineChars="200"/>
        <w:rPr>
          <w:rStyle w:val="314"/>
          <w:rFonts w:hint="eastAsia" w:ascii="宋体" w:hAnsi="宋体" w:eastAsia="宋体" w:cs="宋体"/>
          <w:sz w:val="24"/>
          <w:szCs w:val="24"/>
        </w:rPr>
      </w:pPr>
      <w:r>
        <w:rPr>
          <w:rStyle w:val="314"/>
          <w:rFonts w:hint="eastAsia" w:ascii="宋体" w:hAnsi="宋体" w:eastAsia="宋体" w:cs="宋体"/>
          <w:sz w:val="24"/>
          <w:szCs w:val="24"/>
        </w:rPr>
        <w:t>2</w:t>
      </w:r>
      <w:r>
        <w:rPr>
          <w:rStyle w:val="314"/>
          <w:rFonts w:hint="eastAsia" w:ascii="宋体" w:hAnsi="宋体" w:eastAsia="宋体" w:cs="宋体"/>
          <w:sz w:val="24"/>
          <w:szCs w:val="24"/>
        </w:rPr>
        <w:t>.4.3.7</w:t>
      </w:r>
      <w:r>
        <w:rPr>
          <w:rStyle w:val="314"/>
          <w:rFonts w:hint="eastAsia" w:ascii="宋体" w:hAnsi="宋体" w:eastAsia="宋体" w:cs="宋体"/>
          <w:sz w:val="24"/>
          <w:szCs w:val="24"/>
        </w:rPr>
        <w:t>电磁兼容</w:t>
      </w:r>
    </w:p>
    <w:p w14:paraId="609E9BDF">
      <w:pPr>
        <w:pStyle w:val="7"/>
        <w:tabs>
          <w:tab w:val="left" w:pos="525"/>
          <w:tab w:val="left" w:pos="1140"/>
        </w:tabs>
        <w:spacing w:line="360" w:lineRule="auto"/>
        <w:ind w:firstLine="480" w:firstLineChars="200"/>
        <w:rPr>
          <w:rStyle w:val="314"/>
          <w:rFonts w:hint="eastAsia" w:ascii="宋体" w:hAnsi="宋体" w:eastAsia="宋体" w:cs="宋体"/>
          <w:sz w:val="24"/>
        </w:rPr>
      </w:pPr>
      <w:r>
        <w:rPr>
          <w:rStyle w:val="314"/>
          <w:rFonts w:hint="eastAsia" w:ascii="宋体" w:hAnsi="宋体" w:eastAsia="宋体" w:cs="宋体"/>
          <w:sz w:val="24"/>
          <w:szCs w:val="24"/>
        </w:rPr>
        <w:t>2</w:t>
      </w:r>
      <w:r>
        <w:rPr>
          <w:rStyle w:val="314"/>
          <w:rFonts w:hint="eastAsia" w:ascii="宋体" w:hAnsi="宋体" w:eastAsia="宋体" w:cs="宋体"/>
          <w:sz w:val="24"/>
          <w:szCs w:val="24"/>
        </w:rPr>
        <w:t>.4.3.7.1</w:t>
      </w:r>
      <w:r>
        <w:rPr>
          <w:rStyle w:val="314"/>
          <w:rFonts w:hint="eastAsia" w:ascii="宋体" w:hAnsi="宋体" w:eastAsia="宋体" w:cs="宋体"/>
          <w:sz w:val="24"/>
        </w:rPr>
        <w:t>静电放电抗扰度：充电桩应能承受</w:t>
      </w:r>
      <w:r>
        <w:rPr>
          <w:rStyle w:val="314"/>
          <w:rFonts w:hint="eastAsia" w:ascii="宋体" w:hAnsi="宋体" w:eastAsia="宋体" w:cs="宋体"/>
          <w:sz w:val="24"/>
        </w:rPr>
        <w:t>GB/T 18487.</w:t>
      </w:r>
      <w:r>
        <w:rPr>
          <w:rStyle w:val="314"/>
          <w:rFonts w:hint="eastAsia" w:ascii="宋体" w:hAnsi="宋体" w:eastAsia="宋体" w:cs="宋体"/>
          <w:sz w:val="24"/>
        </w:rPr>
        <w:t>2-2017中规定的试验等级为</w:t>
      </w:r>
      <w:r>
        <w:rPr>
          <w:rStyle w:val="314"/>
          <w:rFonts w:hint="eastAsia" w:ascii="宋体" w:hAnsi="宋体" w:eastAsia="宋体" w:cs="宋体"/>
          <w:sz w:val="24"/>
        </w:rPr>
        <w:t>3</w:t>
      </w:r>
      <w:r>
        <w:rPr>
          <w:rStyle w:val="314"/>
          <w:rFonts w:hint="eastAsia" w:ascii="宋体" w:hAnsi="宋体" w:eastAsia="宋体" w:cs="宋体"/>
          <w:sz w:val="24"/>
        </w:rPr>
        <w:t>级的静电放电抗扰度试验。</w:t>
      </w:r>
    </w:p>
    <w:p w14:paraId="1378D0FA">
      <w:pPr>
        <w:pStyle w:val="7"/>
        <w:tabs>
          <w:tab w:val="left" w:pos="525"/>
          <w:tab w:val="left" w:pos="1140"/>
        </w:tabs>
        <w:spacing w:line="360" w:lineRule="auto"/>
        <w:ind w:firstLine="480" w:firstLineChars="200"/>
        <w:rPr>
          <w:rStyle w:val="314"/>
          <w:rFonts w:hint="eastAsia" w:ascii="宋体" w:hAnsi="宋体" w:eastAsia="宋体" w:cs="宋体"/>
          <w:sz w:val="24"/>
        </w:rPr>
      </w:pPr>
      <w:r>
        <w:rPr>
          <w:rStyle w:val="314"/>
          <w:rFonts w:hint="eastAsia" w:ascii="宋体" w:hAnsi="宋体" w:eastAsia="宋体" w:cs="宋体"/>
          <w:sz w:val="24"/>
          <w:szCs w:val="24"/>
        </w:rPr>
        <w:t>2</w:t>
      </w:r>
      <w:r>
        <w:rPr>
          <w:rStyle w:val="314"/>
          <w:rFonts w:hint="eastAsia" w:ascii="宋体" w:hAnsi="宋体" w:eastAsia="宋体" w:cs="宋体"/>
          <w:sz w:val="24"/>
          <w:szCs w:val="24"/>
        </w:rPr>
        <w:t>.4.3.7.2</w:t>
      </w:r>
      <w:r>
        <w:rPr>
          <w:rStyle w:val="314"/>
          <w:rFonts w:hint="eastAsia" w:ascii="宋体" w:hAnsi="宋体" w:eastAsia="宋体" w:cs="宋体"/>
          <w:sz w:val="24"/>
        </w:rPr>
        <w:t>射频电磁场辐射抗扰度：充电桩应能承受</w:t>
      </w:r>
      <w:r>
        <w:rPr>
          <w:rStyle w:val="314"/>
          <w:rFonts w:hint="eastAsia" w:ascii="宋体" w:hAnsi="宋体" w:eastAsia="宋体" w:cs="宋体"/>
          <w:sz w:val="24"/>
        </w:rPr>
        <w:t>GB/T 18487.</w:t>
      </w:r>
      <w:r>
        <w:rPr>
          <w:rStyle w:val="314"/>
          <w:rFonts w:hint="eastAsia" w:ascii="宋体" w:hAnsi="宋体" w:eastAsia="宋体" w:cs="宋体"/>
          <w:sz w:val="24"/>
        </w:rPr>
        <w:t>2-2017中规定的试验等级为</w:t>
      </w:r>
      <w:r>
        <w:rPr>
          <w:rStyle w:val="314"/>
          <w:rFonts w:hint="eastAsia" w:ascii="宋体" w:hAnsi="宋体" w:eastAsia="宋体" w:cs="宋体"/>
          <w:sz w:val="24"/>
        </w:rPr>
        <w:t>3</w:t>
      </w:r>
      <w:r>
        <w:rPr>
          <w:rStyle w:val="314"/>
          <w:rFonts w:hint="eastAsia" w:ascii="宋体" w:hAnsi="宋体" w:eastAsia="宋体" w:cs="宋体"/>
          <w:sz w:val="24"/>
        </w:rPr>
        <w:t>级的射频电磁场辐射抗扰度试验。</w:t>
      </w:r>
      <w:r>
        <w:rPr>
          <w:rStyle w:val="314"/>
          <w:rFonts w:hint="eastAsia" w:ascii="宋体" w:hAnsi="宋体" w:eastAsia="宋体" w:cs="宋体"/>
          <w:sz w:val="24"/>
        </w:rPr>
        <w:tab/>
      </w:r>
    </w:p>
    <w:p w14:paraId="0FD0DC9F">
      <w:pPr>
        <w:pStyle w:val="7"/>
        <w:tabs>
          <w:tab w:val="left" w:pos="525"/>
          <w:tab w:val="left" w:pos="1140"/>
        </w:tabs>
        <w:spacing w:line="360" w:lineRule="auto"/>
        <w:ind w:firstLine="480" w:firstLineChars="200"/>
        <w:rPr>
          <w:rStyle w:val="314"/>
          <w:rFonts w:hint="eastAsia" w:ascii="宋体" w:hAnsi="宋体" w:eastAsia="宋体" w:cs="宋体"/>
          <w:sz w:val="24"/>
        </w:rPr>
      </w:pPr>
      <w:r>
        <w:rPr>
          <w:rStyle w:val="314"/>
          <w:rFonts w:hint="eastAsia" w:ascii="宋体" w:hAnsi="宋体" w:eastAsia="宋体" w:cs="宋体"/>
          <w:sz w:val="24"/>
          <w:szCs w:val="24"/>
        </w:rPr>
        <w:t>2</w:t>
      </w:r>
      <w:r>
        <w:rPr>
          <w:rStyle w:val="314"/>
          <w:rFonts w:hint="eastAsia" w:ascii="宋体" w:hAnsi="宋体" w:eastAsia="宋体" w:cs="宋体"/>
          <w:sz w:val="24"/>
          <w:szCs w:val="24"/>
        </w:rPr>
        <w:t>.4.3.7.3</w:t>
      </w:r>
      <w:r>
        <w:rPr>
          <w:rStyle w:val="314"/>
          <w:rFonts w:hint="eastAsia" w:ascii="宋体" w:hAnsi="宋体" w:eastAsia="宋体" w:cs="宋体"/>
          <w:sz w:val="24"/>
        </w:rPr>
        <w:t>电快速瞬变脉冲群抗扰度 ：充电桩应能承受</w:t>
      </w:r>
      <w:r>
        <w:rPr>
          <w:rStyle w:val="314"/>
          <w:rFonts w:hint="eastAsia" w:ascii="宋体" w:hAnsi="宋体" w:eastAsia="宋体" w:cs="宋体"/>
          <w:sz w:val="24"/>
        </w:rPr>
        <w:t>GB/T 18487.</w:t>
      </w:r>
      <w:r>
        <w:rPr>
          <w:rStyle w:val="314"/>
          <w:rFonts w:hint="eastAsia" w:ascii="宋体" w:hAnsi="宋体" w:eastAsia="宋体" w:cs="宋体"/>
          <w:sz w:val="24"/>
        </w:rPr>
        <w:t>2-2017中规定的试验等级为</w:t>
      </w:r>
      <w:r>
        <w:rPr>
          <w:rStyle w:val="314"/>
          <w:rFonts w:hint="eastAsia" w:ascii="宋体" w:hAnsi="宋体" w:eastAsia="宋体" w:cs="宋体"/>
          <w:sz w:val="24"/>
        </w:rPr>
        <w:t>3</w:t>
      </w:r>
      <w:r>
        <w:rPr>
          <w:rStyle w:val="314"/>
          <w:rFonts w:hint="eastAsia" w:ascii="宋体" w:hAnsi="宋体" w:eastAsia="宋体" w:cs="宋体"/>
          <w:sz w:val="24"/>
        </w:rPr>
        <w:t>级的电快速瞬变脉冲群抗扰度试验。</w:t>
      </w:r>
    </w:p>
    <w:p w14:paraId="3AFB0FD2">
      <w:pPr>
        <w:pStyle w:val="7"/>
        <w:tabs>
          <w:tab w:val="left" w:pos="525"/>
          <w:tab w:val="left" w:pos="1140"/>
        </w:tabs>
        <w:spacing w:line="360" w:lineRule="auto"/>
        <w:ind w:firstLine="480" w:firstLineChars="200"/>
        <w:rPr>
          <w:rStyle w:val="314"/>
          <w:rFonts w:hint="eastAsia" w:ascii="宋体" w:hAnsi="宋体" w:eastAsia="宋体" w:cs="宋体"/>
          <w:sz w:val="24"/>
        </w:rPr>
      </w:pPr>
      <w:r>
        <w:rPr>
          <w:rStyle w:val="314"/>
          <w:rFonts w:hint="eastAsia" w:ascii="宋体" w:hAnsi="宋体" w:eastAsia="宋体" w:cs="宋体"/>
          <w:sz w:val="24"/>
          <w:szCs w:val="24"/>
        </w:rPr>
        <w:t>2</w:t>
      </w:r>
      <w:r>
        <w:rPr>
          <w:rStyle w:val="314"/>
          <w:rFonts w:hint="eastAsia" w:ascii="宋体" w:hAnsi="宋体" w:eastAsia="宋体" w:cs="宋体"/>
          <w:sz w:val="24"/>
          <w:szCs w:val="24"/>
        </w:rPr>
        <w:t>.4.3.7.4</w:t>
      </w:r>
      <w:r>
        <w:rPr>
          <w:rStyle w:val="314"/>
          <w:rFonts w:hint="eastAsia" w:ascii="宋体" w:hAnsi="宋体" w:eastAsia="宋体" w:cs="宋体"/>
          <w:sz w:val="24"/>
        </w:rPr>
        <w:t>浪涌（冲击）抗扰度：充电桩应能承受</w:t>
      </w:r>
      <w:r>
        <w:rPr>
          <w:rStyle w:val="314"/>
          <w:rFonts w:hint="eastAsia" w:ascii="宋体" w:hAnsi="宋体" w:eastAsia="宋体" w:cs="宋体"/>
          <w:sz w:val="24"/>
        </w:rPr>
        <w:t>GB/T 18487.</w:t>
      </w:r>
      <w:r>
        <w:rPr>
          <w:rStyle w:val="314"/>
          <w:rFonts w:hint="eastAsia" w:ascii="宋体" w:hAnsi="宋体" w:eastAsia="宋体" w:cs="宋体"/>
          <w:sz w:val="24"/>
        </w:rPr>
        <w:t>2-2017中规定的试验等级为</w:t>
      </w:r>
      <w:r>
        <w:rPr>
          <w:rStyle w:val="314"/>
          <w:rFonts w:hint="eastAsia" w:ascii="宋体" w:hAnsi="宋体" w:eastAsia="宋体" w:cs="宋体"/>
          <w:sz w:val="24"/>
        </w:rPr>
        <w:t>3</w:t>
      </w:r>
      <w:r>
        <w:rPr>
          <w:rStyle w:val="314"/>
          <w:rFonts w:hint="eastAsia" w:ascii="宋体" w:hAnsi="宋体" w:eastAsia="宋体" w:cs="宋体"/>
          <w:sz w:val="24"/>
        </w:rPr>
        <w:t>级的浪涌（冲击）抗扰度试验。</w:t>
      </w:r>
    </w:p>
    <w:p w14:paraId="4BDFB08B">
      <w:pPr>
        <w:pStyle w:val="7"/>
        <w:tabs>
          <w:tab w:val="left" w:pos="525"/>
          <w:tab w:val="left" w:pos="1134"/>
        </w:tabs>
        <w:spacing w:line="360" w:lineRule="auto"/>
        <w:ind w:firstLine="480" w:firstLineChars="200"/>
        <w:rPr>
          <w:rStyle w:val="314"/>
          <w:rFonts w:hint="eastAsia" w:ascii="宋体" w:hAnsi="宋体" w:eastAsia="宋体" w:cs="宋体"/>
          <w:sz w:val="24"/>
        </w:rPr>
      </w:pPr>
      <w:r>
        <w:rPr>
          <w:rStyle w:val="314"/>
          <w:rFonts w:hint="eastAsia" w:ascii="宋体" w:hAnsi="宋体" w:eastAsia="宋体" w:cs="宋体"/>
          <w:sz w:val="24"/>
          <w:szCs w:val="24"/>
        </w:rPr>
        <w:t>2</w:t>
      </w:r>
      <w:r>
        <w:rPr>
          <w:rStyle w:val="314"/>
          <w:rFonts w:hint="eastAsia" w:ascii="宋体" w:hAnsi="宋体" w:eastAsia="宋体" w:cs="宋体"/>
          <w:sz w:val="24"/>
          <w:szCs w:val="24"/>
        </w:rPr>
        <w:t>.4.3.7.5</w:t>
      </w:r>
      <w:r>
        <w:rPr>
          <w:rStyle w:val="314"/>
          <w:rFonts w:hint="eastAsia" w:ascii="宋体" w:hAnsi="宋体" w:eastAsia="宋体" w:cs="宋体"/>
          <w:sz w:val="24"/>
        </w:rPr>
        <w:t>电压</w:t>
      </w:r>
      <w:r>
        <w:rPr>
          <w:rStyle w:val="314"/>
          <w:rFonts w:hint="eastAsia" w:ascii="宋体" w:hAnsi="宋体" w:eastAsia="宋体" w:cs="宋体"/>
          <w:sz w:val="24"/>
        </w:rPr>
        <w:t>暂降、短时中断</w:t>
      </w:r>
      <w:r>
        <w:rPr>
          <w:rStyle w:val="314"/>
          <w:rFonts w:hint="eastAsia" w:ascii="宋体" w:hAnsi="宋体" w:eastAsia="宋体" w:cs="宋体"/>
          <w:sz w:val="24"/>
        </w:rPr>
        <w:t>抗扰度</w:t>
      </w:r>
      <w:r>
        <w:rPr>
          <w:rStyle w:val="314"/>
          <w:rFonts w:hint="eastAsia" w:ascii="宋体" w:hAnsi="宋体" w:eastAsia="宋体" w:cs="宋体"/>
          <w:sz w:val="24"/>
        </w:rPr>
        <w:t>：充电</w:t>
      </w:r>
      <w:r>
        <w:rPr>
          <w:rStyle w:val="314"/>
          <w:rFonts w:hint="eastAsia" w:ascii="宋体" w:hAnsi="宋体" w:eastAsia="宋体" w:cs="宋体"/>
          <w:sz w:val="24"/>
        </w:rPr>
        <w:t>桩</w:t>
      </w:r>
      <w:r>
        <w:rPr>
          <w:rStyle w:val="314"/>
          <w:rFonts w:hint="eastAsia" w:ascii="宋体" w:hAnsi="宋体" w:eastAsia="宋体" w:cs="宋体"/>
          <w:sz w:val="24"/>
        </w:rPr>
        <w:t>应能承受GB/T 18487.</w:t>
      </w:r>
      <w:r>
        <w:rPr>
          <w:rStyle w:val="314"/>
          <w:rFonts w:hint="eastAsia" w:ascii="宋体" w:hAnsi="宋体" w:eastAsia="宋体" w:cs="宋体"/>
          <w:sz w:val="24"/>
        </w:rPr>
        <w:t>2-2017中</w:t>
      </w:r>
      <w:r>
        <w:rPr>
          <w:rStyle w:val="314"/>
          <w:rFonts w:hint="eastAsia" w:ascii="宋体" w:hAnsi="宋体" w:eastAsia="宋体" w:cs="宋体"/>
          <w:sz w:val="24"/>
        </w:rPr>
        <w:t>规定的</w:t>
      </w:r>
      <w:r>
        <w:rPr>
          <w:rStyle w:val="314"/>
          <w:rFonts w:hint="eastAsia" w:ascii="宋体" w:hAnsi="宋体" w:eastAsia="宋体" w:cs="宋体"/>
          <w:sz w:val="24"/>
        </w:rPr>
        <w:t>电压</w:t>
      </w:r>
      <w:r>
        <w:rPr>
          <w:rStyle w:val="314"/>
          <w:rFonts w:hint="eastAsia" w:ascii="宋体" w:hAnsi="宋体" w:eastAsia="宋体" w:cs="宋体"/>
          <w:sz w:val="24"/>
        </w:rPr>
        <w:t>试验等级在</w:t>
      </w:r>
      <w:r>
        <w:rPr>
          <w:rStyle w:val="314"/>
          <w:rFonts w:hint="eastAsia" w:ascii="宋体" w:hAnsi="宋体" w:eastAsia="宋体" w:cs="宋体"/>
          <w:sz w:val="24"/>
        </w:rPr>
        <w:t>0</w:t>
      </w:r>
      <w:r>
        <w:rPr>
          <w:rStyle w:val="314"/>
          <w:rFonts w:hint="eastAsia" w:ascii="宋体" w:hAnsi="宋体" w:eastAsia="宋体" w:cs="宋体"/>
          <w:sz w:val="24"/>
        </w:rPr>
        <w:t>%、40%、70%的额定工作电压的</w:t>
      </w:r>
      <w:r>
        <w:rPr>
          <w:rStyle w:val="314"/>
          <w:rFonts w:hint="eastAsia" w:ascii="宋体" w:hAnsi="宋体" w:eastAsia="宋体" w:cs="宋体"/>
          <w:sz w:val="24"/>
        </w:rPr>
        <w:t>电压暂降、短时中断抗扰度试验</w:t>
      </w:r>
      <w:r>
        <w:rPr>
          <w:rStyle w:val="314"/>
          <w:rFonts w:hint="eastAsia" w:ascii="宋体" w:hAnsi="宋体" w:eastAsia="宋体" w:cs="宋体"/>
          <w:sz w:val="24"/>
        </w:rPr>
        <w:t>。</w:t>
      </w:r>
    </w:p>
    <w:p w14:paraId="658B2AD9">
      <w:pPr>
        <w:pStyle w:val="7"/>
        <w:tabs>
          <w:tab w:val="left" w:pos="525"/>
          <w:tab w:val="left" w:pos="1134"/>
        </w:tabs>
        <w:spacing w:line="360" w:lineRule="auto"/>
        <w:ind w:firstLine="480" w:firstLineChars="200"/>
        <w:rPr>
          <w:rStyle w:val="314"/>
          <w:rFonts w:hint="eastAsia" w:ascii="宋体" w:hAnsi="宋体" w:eastAsia="宋体" w:cs="宋体"/>
          <w:sz w:val="24"/>
        </w:rPr>
      </w:pPr>
      <w:r>
        <w:rPr>
          <w:rStyle w:val="314"/>
          <w:rFonts w:hint="eastAsia" w:ascii="宋体" w:hAnsi="宋体" w:eastAsia="宋体" w:cs="宋体"/>
          <w:sz w:val="24"/>
          <w:szCs w:val="24"/>
        </w:rPr>
        <w:t>2</w:t>
      </w:r>
      <w:r>
        <w:rPr>
          <w:rStyle w:val="314"/>
          <w:rFonts w:hint="eastAsia" w:ascii="宋体" w:hAnsi="宋体" w:eastAsia="宋体" w:cs="宋体"/>
          <w:sz w:val="24"/>
          <w:szCs w:val="24"/>
        </w:rPr>
        <w:t>.4.3.7.6</w:t>
      </w:r>
      <w:r>
        <w:rPr>
          <w:rStyle w:val="314"/>
          <w:rFonts w:hint="eastAsia" w:ascii="宋体" w:hAnsi="宋体" w:eastAsia="宋体" w:cs="宋体"/>
          <w:sz w:val="24"/>
        </w:rPr>
        <w:t>传导和辐射发射限值要求：充电</w:t>
      </w:r>
      <w:r>
        <w:rPr>
          <w:rStyle w:val="314"/>
          <w:rFonts w:hint="eastAsia" w:ascii="宋体" w:hAnsi="宋体" w:eastAsia="宋体" w:cs="宋体"/>
          <w:sz w:val="24"/>
        </w:rPr>
        <w:t>桩</w:t>
      </w:r>
      <w:r>
        <w:rPr>
          <w:rStyle w:val="314"/>
          <w:rFonts w:hint="eastAsia" w:ascii="宋体" w:hAnsi="宋体" w:eastAsia="宋体" w:cs="宋体"/>
          <w:sz w:val="24"/>
        </w:rPr>
        <w:t>的电源端口应符合表</w:t>
      </w:r>
      <w:r>
        <w:rPr>
          <w:rStyle w:val="314"/>
          <w:rFonts w:hint="eastAsia" w:ascii="宋体" w:hAnsi="宋体" w:eastAsia="宋体" w:cs="宋体"/>
          <w:sz w:val="24"/>
        </w:rPr>
        <w:t>4</w:t>
      </w:r>
      <w:r>
        <w:rPr>
          <w:rStyle w:val="314"/>
          <w:rFonts w:hint="eastAsia" w:ascii="宋体" w:hAnsi="宋体" w:eastAsia="宋体" w:cs="宋体"/>
          <w:sz w:val="24"/>
        </w:rPr>
        <w:t>规定的传导发射限值，外壳端口应符合表</w:t>
      </w:r>
      <w:r>
        <w:rPr>
          <w:rStyle w:val="314"/>
          <w:rFonts w:hint="eastAsia" w:ascii="宋体" w:hAnsi="宋体" w:eastAsia="宋体" w:cs="宋体"/>
          <w:sz w:val="24"/>
        </w:rPr>
        <w:t>5</w:t>
      </w:r>
      <w:r>
        <w:rPr>
          <w:rStyle w:val="314"/>
          <w:rFonts w:hint="eastAsia" w:ascii="宋体" w:hAnsi="宋体" w:eastAsia="宋体" w:cs="宋体"/>
          <w:sz w:val="24"/>
        </w:rPr>
        <w:t>规定的辐射发射限值。</w:t>
      </w:r>
    </w:p>
    <w:p w14:paraId="49FBB052">
      <w:pPr>
        <w:pStyle w:val="315"/>
        <w:numPr>
          <w:ilvl w:val="0"/>
          <w:numId w:val="0"/>
        </w:numPr>
        <w:spacing w:before="0" w:beforeLines="0" w:after="0" w:afterLines="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表4  传导发射限值</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27"/>
        <w:gridCol w:w="2934"/>
        <w:gridCol w:w="2957"/>
      </w:tblGrid>
      <w:tr w14:paraId="3015D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27" w:type="dxa"/>
            <w:vMerge w:val="restart"/>
            <w:vAlign w:val="center"/>
          </w:tcPr>
          <w:p w14:paraId="75F9B6F1">
            <w:pPr>
              <w:spacing w:line="360" w:lineRule="auto"/>
              <w:jc w:val="center"/>
              <w:rPr>
                <w:rFonts w:hint="eastAsia" w:ascii="宋体" w:hAnsi="宋体" w:eastAsia="宋体" w:cs="宋体"/>
                <w:w w:val="80"/>
                <w:sz w:val="24"/>
                <w:szCs w:val="24"/>
              </w:rPr>
            </w:pPr>
            <w:r>
              <w:rPr>
                <w:rFonts w:hint="eastAsia" w:ascii="宋体" w:hAnsi="宋体" w:eastAsia="宋体" w:cs="宋体"/>
                <w:sz w:val="24"/>
                <w:szCs w:val="24"/>
              </w:rPr>
              <w:t>频率范围</w:t>
            </w:r>
            <w:r>
              <w:rPr>
                <w:rFonts w:hint="eastAsia" w:ascii="宋体" w:hAnsi="宋体" w:eastAsia="宋体" w:cs="宋体"/>
                <w:sz w:val="24"/>
                <w:szCs w:val="24"/>
              </w:rPr>
              <w:t>（</w:t>
            </w:r>
            <w:r>
              <w:rPr>
                <w:rFonts w:hint="eastAsia" w:ascii="宋体" w:hAnsi="宋体" w:eastAsia="宋体" w:cs="宋体"/>
                <w:sz w:val="24"/>
                <w:szCs w:val="24"/>
              </w:rPr>
              <w:t>MHz</w:t>
            </w:r>
            <w:r>
              <w:rPr>
                <w:rFonts w:hint="eastAsia" w:ascii="宋体" w:hAnsi="宋体" w:eastAsia="宋体" w:cs="宋体"/>
                <w:sz w:val="24"/>
                <w:szCs w:val="24"/>
              </w:rPr>
              <w:t>）</w:t>
            </w:r>
          </w:p>
        </w:tc>
        <w:tc>
          <w:tcPr>
            <w:tcW w:w="5891" w:type="dxa"/>
            <w:gridSpan w:val="2"/>
            <w:vAlign w:val="center"/>
          </w:tcPr>
          <w:p w14:paraId="4323C835">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发射限值dB(μV)</w:t>
            </w:r>
          </w:p>
        </w:tc>
      </w:tr>
      <w:tr w14:paraId="3901A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 w:hRule="atLeast"/>
          <w:jc w:val="center"/>
        </w:trPr>
        <w:tc>
          <w:tcPr>
            <w:tcW w:w="3227" w:type="dxa"/>
            <w:vMerge w:val="continue"/>
            <w:vAlign w:val="center"/>
          </w:tcPr>
          <w:p w14:paraId="132F8406">
            <w:pPr>
              <w:spacing w:line="360" w:lineRule="auto"/>
              <w:jc w:val="center"/>
              <w:rPr>
                <w:rFonts w:hint="eastAsia" w:ascii="宋体" w:hAnsi="宋体" w:eastAsia="宋体" w:cs="宋体"/>
                <w:w w:val="80"/>
                <w:sz w:val="24"/>
                <w:szCs w:val="24"/>
              </w:rPr>
            </w:pPr>
          </w:p>
        </w:tc>
        <w:tc>
          <w:tcPr>
            <w:tcW w:w="2934" w:type="dxa"/>
            <w:vAlign w:val="center"/>
          </w:tcPr>
          <w:p w14:paraId="4B0D7BBF">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准峰值</w:t>
            </w:r>
          </w:p>
        </w:tc>
        <w:tc>
          <w:tcPr>
            <w:tcW w:w="2957" w:type="dxa"/>
            <w:vAlign w:val="center"/>
          </w:tcPr>
          <w:p w14:paraId="19F64D88">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平均值</w:t>
            </w:r>
          </w:p>
        </w:tc>
      </w:tr>
      <w:tr w14:paraId="0A06B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 w:hRule="atLeast"/>
          <w:jc w:val="center"/>
        </w:trPr>
        <w:tc>
          <w:tcPr>
            <w:tcW w:w="3227" w:type="dxa"/>
            <w:vAlign w:val="center"/>
          </w:tcPr>
          <w:p w14:paraId="12281AA1">
            <w:pPr>
              <w:spacing w:line="360" w:lineRule="auto"/>
              <w:jc w:val="center"/>
              <w:rPr>
                <w:rFonts w:hint="eastAsia" w:ascii="宋体" w:hAnsi="宋体" w:eastAsia="宋体" w:cs="宋体"/>
                <w:sz w:val="24"/>
                <w:szCs w:val="24"/>
              </w:rPr>
            </w:pPr>
            <w:r>
              <w:rPr>
                <w:rFonts w:hint="eastAsia" w:ascii="宋体" w:hAnsi="宋体" w:eastAsia="宋体" w:cs="宋体"/>
                <w:sz w:val="24"/>
                <w:szCs w:val="24"/>
              </w:rPr>
              <w:t>0.15～0.5（不含0.5）</w:t>
            </w:r>
          </w:p>
        </w:tc>
        <w:tc>
          <w:tcPr>
            <w:tcW w:w="2934" w:type="dxa"/>
            <w:vAlign w:val="center"/>
          </w:tcPr>
          <w:p w14:paraId="70253237">
            <w:pPr>
              <w:spacing w:line="360" w:lineRule="auto"/>
              <w:jc w:val="center"/>
              <w:rPr>
                <w:rFonts w:hint="eastAsia" w:ascii="宋体" w:hAnsi="宋体" w:eastAsia="宋体" w:cs="宋体"/>
                <w:sz w:val="24"/>
                <w:szCs w:val="24"/>
              </w:rPr>
            </w:pPr>
            <w:r>
              <w:rPr>
                <w:rFonts w:hint="eastAsia" w:ascii="宋体" w:hAnsi="宋体" w:eastAsia="宋体" w:cs="宋体"/>
                <w:sz w:val="24"/>
                <w:szCs w:val="24"/>
              </w:rPr>
              <w:t>79</w:t>
            </w:r>
          </w:p>
        </w:tc>
        <w:tc>
          <w:tcPr>
            <w:tcW w:w="2957" w:type="dxa"/>
            <w:vAlign w:val="center"/>
          </w:tcPr>
          <w:p w14:paraId="3E544B37">
            <w:pPr>
              <w:spacing w:line="360" w:lineRule="auto"/>
              <w:jc w:val="center"/>
              <w:rPr>
                <w:rFonts w:hint="eastAsia" w:ascii="宋体" w:hAnsi="宋体" w:eastAsia="宋体" w:cs="宋体"/>
                <w:sz w:val="24"/>
                <w:szCs w:val="24"/>
              </w:rPr>
            </w:pPr>
            <w:r>
              <w:rPr>
                <w:rFonts w:hint="eastAsia" w:ascii="宋体" w:hAnsi="宋体" w:eastAsia="宋体" w:cs="宋体"/>
                <w:sz w:val="24"/>
                <w:szCs w:val="24"/>
              </w:rPr>
              <w:t>66</w:t>
            </w:r>
          </w:p>
        </w:tc>
      </w:tr>
      <w:tr w14:paraId="34288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3227" w:type="dxa"/>
            <w:vAlign w:val="center"/>
          </w:tcPr>
          <w:p w14:paraId="2D5F5FCA">
            <w:pPr>
              <w:spacing w:line="360" w:lineRule="auto"/>
              <w:jc w:val="center"/>
              <w:rPr>
                <w:rFonts w:hint="eastAsia" w:ascii="宋体" w:hAnsi="宋体" w:eastAsia="宋体" w:cs="宋体"/>
                <w:sz w:val="24"/>
                <w:szCs w:val="24"/>
              </w:rPr>
            </w:pPr>
            <w:r>
              <w:rPr>
                <w:rFonts w:hint="eastAsia" w:ascii="宋体" w:hAnsi="宋体" w:eastAsia="宋体" w:cs="宋体"/>
                <w:sz w:val="24"/>
                <w:szCs w:val="24"/>
              </w:rPr>
              <w:t>0.5～30</w:t>
            </w:r>
          </w:p>
        </w:tc>
        <w:tc>
          <w:tcPr>
            <w:tcW w:w="2934" w:type="dxa"/>
            <w:vAlign w:val="center"/>
          </w:tcPr>
          <w:p w14:paraId="4FB7DF00">
            <w:pPr>
              <w:spacing w:line="360" w:lineRule="auto"/>
              <w:jc w:val="center"/>
              <w:rPr>
                <w:rFonts w:hint="eastAsia" w:ascii="宋体" w:hAnsi="宋体" w:eastAsia="宋体" w:cs="宋体"/>
                <w:sz w:val="24"/>
                <w:szCs w:val="24"/>
              </w:rPr>
            </w:pPr>
            <w:r>
              <w:rPr>
                <w:rFonts w:hint="eastAsia" w:ascii="宋体" w:hAnsi="宋体" w:eastAsia="宋体" w:cs="宋体"/>
                <w:sz w:val="24"/>
                <w:szCs w:val="24"/>
              </w:rPr>
              <w:t>73</w:t>
            </w:r>
          </w:p>
        </w:tc>
        <w:tc>
          <w:tcPr>
            <w:tcW w:w="2957" w:type="dxa"/>
            <w:vAlign w:val="center"/>
          </w:tcPr>
          <w:p w14:paraId="6D6106F1">
            <w:pPr>
              <w:spacing w:line="360" w:lineRule="auto"/>
              <w:jc w:val="center"/>
              <w:rPr>
                <w:rFonts w:hint="eastAsia" w:ascii="宋体" w:hAnsi="宋体" w:eastAsia="宋体" w:cs="宋体"/>
                <w:sz w:val="24"/>
                <w:szCs w:val="24"/>
              </w:rPr>
            </w:pPr>
            <w:r>
              <w:rPr>
                <w:rFonts w:hint="eastAsia" w:ascii="宋体" w:hAnsi="宋体" w:eastAsia="宋体" w:cs="宋体"/>
                <w:sz w:val="24"/>
                <w:szCs w:val="24"/>
              </w:rPr>
              <w:t>60</w:t>
            </w:r>
          </w:p>
        </w:tc>
      </w:tr>
    </w:tbl>
    <w:p w14:paraId="39600944">
      <w:pPr>
        <w:pStyle w:val="315"/>
        <w:numPr>
          <w:ilvl w:val="0"/>
          <w:numId w:val="0"/>
        </w:numPr>
        <w:spacing w:before="0" w:beforeLines="0" w:after="0" w:afterLines="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表5  辐射发射限值</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27"/>
        <w:gridCol w:w="5891"/>
      </w:tblGrid>
      <w:tr w14:paraId="43DD1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3227" w:type="dxa"/>
            <w:vMerge w:val="restart"/>
            <w:vAlign w:val="center"/>
          </w:tcPr>
          <w:p w14:paraId="7DD9FE61">
            <w:pPr>
              <w:spacing w:line="360" w:lineRule="auto"/>
              <w:jc w:val="center"/>
              <w:rPr>
                <w:rFonts w:hint="eastAsia" w:ascii="宋体" w:hAnsi="宋体" w:eastAsia="宋体" w:cs="宋体"/>
                <w:sz w:val="24"/>
                <w:szCs w:val="24"/>
              </w:rPr>
            </w:pPr>
            <w:r>
              <w:rPr>
                <w:rFonts w:hint="eastAsia" w:ascii="宋体" w:hAnsi="宋体" w:eastAsia="宋体" w:cs="宋体"/>
                <w:sz w:val="24"/>
                <w:szCs w:val="24"/>
              </w:rPr>
              <w:t>频率范围</w:t>
            </w:r>
            <w:r>
              <w:rPr>
                <w:rFonts w:hint="eastAsia" w:ascii="宋体" w:hAnsi="宋体" w:eastAsia="宋体" w:cs="宋体"/>
                <w:sz w:val="24"/>
                <w:szCs w:val="24"/>
              </w:rPr>
              <w:t>（</w:t>
            </w:r>
            <w:r>
              <w:rPr>
                <w:rFonts w:hint="eastAsia" w:ascii="宋体" w:hAnsi="宋体" w:eastAsia="宋体" w:cs="宋体"/>
                <w:sz w:val="24"/>
                <w:szCs w:val="24"/>
              </w:rPr>
              <w:t>MHz</w:t>
            </w:r>
            <w:r>
              <w:rPr>
                <w:rFonts w:hint="eastAsia" w:ascii="宋体" w:hAnsi="宋体" w:eastAsia="宋体" w:cs="宋体"/>
                <w:sz w:val="24"/>
                <w:szCs w:val="24"/>
              </w:rPr>
              <w:t>）</w:t>
            </w:r>
          </w:p>
        </w:tc>
        <w:tc>
          <w:tcPr>
            <w:tcW w:w="5891" w:type="dxa"/>
            <w:vAlign w:val="center"/>
          </w:tcPr>
          <w:p w14:paraId="4E169DE4">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在10 m测量距离处辐射发射限值dB(μV/m)</w:t>
            </w:r>
          </w:p>
        </w:tc>
      </w:tr>
      <w:tr w14:paraId="23E5F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3227" w:type="dxa"/>
            <w:vMerge w:val="continue"/>
            <w:vAlign w:val="center"/>
          </w:tcPr>
          <w:p w14:paraId="515DDE39">
            <w:pPr>
              <w:spacing w:line="360" w:lineRule="auto"/>
              <w:jc w:val="center"/>
              <w:rPr>
                <w:rFonts w:hint="eastAsia" w:ascii="宋体" w:hAnsi="宋体" w:eastAsia="宋体" w:cs="宋体"/>
                <w:sz w:val="24"/>
                <w:szCs w:val="24"/>
              </w:rPr>
            </w:pPr>
          </w:p>
        </w:tc>
        <w:tc>
          <w:tcPr>
            <w:tcW w:w="5891" w:type="dxa"/>
            <w:vAlign w:val="center"/>
          </w:tcPr>
          <w:p w14:paraId="4930EF99">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准峰值</w:t>
            </w:r>
          </w:p>
        </w:tc>
      </w:tr>
      <w:tr w14:paraId="40F15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 w:hRule="atLeast"/>
          <w:jc w:val="center"/>
        </w:trPr>
        <w:tc>
          <w:tcPr>
            <w:tcW w:w="3227" w:type="dxa"/>
            <w:vAlign w:val="center"/>
          </w:tcPr>
          <w:p w14:paraId="139BF5A7">
            <w:pPr>
              <w:spacing w:line="360" w:lineRule="auto"/>
              <w:jc w:val="center"/>
              <w:rPr>
                <w:rFonts w:hint="eastAsia" w:ascii="宋体" w:hAnsi="宋体" w:eastAsia="宋体" w:cs="宋体"/>
                <w:sz w:val="24"/>
                <w:szCs w:val="24"/>
              </w:rPr>
            </w:pPr>
            <w:r>
              <w:rPr>
                <w:rFonts w:hint="eastAsia" w:ascii="宋体" w:hAnsi="宋体" w:eastAsia="宋体" w:cs="宋体"/>
                <w:sz w:val="24"/>
                <w:szCs w:val="24"/>
              </w:rPr>
              <w:t>30～230</w:t>
            </w:r>
          </w:p>
        </w:tc>
        <w:tc>
          <w:tcPr>
            <w:tcW w:w="5891" w:type="dxa"/>
            <w:vAlign w:val="center"/>
          </w:tcPr>
          <w:p w14:paraId="4F8EB8FD">
            <w:pPr>
              <w:autoSpaceDE w:val="0"/>
              <w:autoSpaceDN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40</w:t>
            </w:r>
          </w:p>
        </w:tc>
      </w:tr>
      <w:tr w14:paraId="0EB10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jc w:val="center"/>
        </w:trPr>
        <w:tc>
          <w:tcPr>
            <w:tcW w:w="3227" w:type="dxa"/>
            <w:vAlign w:val="center"/>
          </w:tcPr>
          <w:p w14:paraId="6AC29E9A">
            <w:pPr>
              <w:spacing w:line="360" w:lineRule="auto"/>
              <w:jc w:val="center"/>
              <w:rPr>
                <w:rFonts w:hint="eastAsia" w:ascii="宋体" w:hAnsi="宋体" w:eastAsia="宋体" w:cs="宋体"/>
                <w:sz w:val="24"/>
                <w:szCs w:val="24"/>
              </w:rPr>
            </w:pPr>
            <w:r>
              <w:rPr>
                <w:rFonts w:hint="eastAsia" w:ascii="宋体" w:hAnsi="宋体" w:eastAsia="宋体" w:cs="宋体"/>
                <w:sz w:val="24"/>
                <w:szCs w:val="24"/>
              </w:rPr>
              <w:t>230～1000（不含230）</w:t>
            </w:r>
          </w:p>
        </w:tc>
        <w:tc>
          <w:tcPr>
            <w:tcW w:w="5891" w:type="dxa"/>
            <w:vAlign w:val="center"/>
          </w:tcPr>
          <w:p w14:paraId="4D6D6596">
            <w:pPr>
              <w:autoSpaceDE w:val="0"/>
              <w:autoSpaceDN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47</w:t>
            </w:r>
          </w:p>
        </w:tc>
      </w:tr>
    </w:tbl>
    <w:p w14:paraId="398340BB">
      <w:pPr>
        <w:pStyle w:val="7"/>
        <w:tabs>
          <w:tab w:val="left" w:pos="525"/>
          <w:tab w:val="left" w:pos="1140"/>
        </w:tabs>
        <w:spacing w:line="360" w:lineRule="auto"/>
        <w:ind w:firstLine="480" w:firstLineChars="200"/>
        <w:rPr>
          <w:rStyle w:val="314"/>
          <w:rFonts w:hint="eastAsia" w:ascii="宋体" w:hAnsi="宋体" w:eastAsia="宋体" w:cs="宋体"/>
          <w:sz w:val="24"/>
          <w:szCs w:val="24"/>
        </w:rPr>
      </w:pPr>
      <w:r>
        <w:rPr>
          <w:rStyle w:val="314"/>
          <w:rFonts w:hint="eastAsia" w:ascii="宋体" w:hAnsi="宋体" w:eastAsia="宋体" w:cs="宋体"/>
          <w:sz w:val="24"/>
          <w:szCs w:val="24"/>
        </w:rPr>
        <w:t>2</w:t>
      </w:r>
      <w:r>
        <w:rPr>
          <w:rStyle w:val="314"/>
          <w:rFonts w:hint="eastAsia" w:ascii="宋体" w:hAnsi="宋体" w:eastAsia="宋体" w:cs="宋体"/>
          <w:sz w:val="24"/>
          <w:szCs w:val="24"/>
        </w:rPr>
        <w:t>.4.3.8待机功耗</w:t>
      </w:r>
    </w:p>
    <w:p w14:paraId="183FCB6B">
      <w:pPr>
        <w:pStyle w:val="7"/>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在额定输入电压下，当充电桩处于待机状态时，其整机功耗不应大于</w:t>
      </w:r>
      <w:r>
        <w:rPr>
          <w:rFonts w:hint="eastAsia" w:ascii="宋体" w:hAnsi="宋体" w:eastAsia="宋体" w:cs="宋体"/>
          <w:sz w:val="24"/>
          <w:szCs w:val="24"/>
        </w:rPr>
        <w:t>5</w:t>
      </w:r>
      <w:r>
        <w:rPr>
          <w:rFonts w:hint="eastAsia" w:ascii="宋体" w:hAnsi="宋体" w:eastAsia="宋体" w:cs="宋体"/>
          <w:sz w:val="24"/>
          <w:szCs w:val="24"/>
        </w:rPr>
        <w:t>W。</w:t>
      </w:r>
    </w:p>
    <w:p w14:paraId="04B5602A">
      <w:pPr>
        <w:pStyle w:val="7"/>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2.4.4其它要求</w:t>
      </w:r>
    </w:p>
    <w:p w14:paraId="21EDA3C2">
      <w:pPr>
        <w:pStyle w:val="7"/>
        <w:tabs>
          <w:tab w:val="left" w:pos="525"/>
          <w:tab w:val="left" w:pos="1140"/>
        </w:tabs>
        <w:spacing w:line="360" w:lineRule="auto"/>
        <w:ind w:firstLine="480" w:firstLineChars="200"/>
        <w:rPr>
          <w:rStyle w:val="314"/>
          <w:rFonts w:hint="eastAsia" w:ascii="宋体" w:hAnsi="宋体" w:eastAsia="宋体" w:cs="宋体"/>
          <w:sz w:val="24"/>
          <w:szCs w:val="24"/>
        </w:rPr>
      </w:pPr>
      <w:r>
        <w:rPr>
          <w:rStyle w:val="314"/>
          <w:rFonts w:hint="eastAsia" w:ascii="宋体" w:hAnsi="宋体" w:eastAsia="宋体" w:cs="宋体"/>
          <w:sz w:val="24"/>
          <w:szCs w:val="24"/>
        </w:rPr>
        <w:t>2</w:t>
      </w:r>
      <w:r>
        <w:rPr>
          <w:rStyle w:val="314"/>
          <w:rFonts w:hint="eastAsia" w:ascii="宋体" w:hAnsi="宋体" w:eastAsia="宋体" w:cs="宋体"/>
          <w:sz w:val="24"/>
          <w:szCs w:val="24"/>
        </w:rPr>
        <w:t>.4.4.1</w:t>
      </w:r>
      <w:r>
        <w:rPr>
          <w:rStyle w:val="314"/>
          <w:rFonts w:hint="eastAsia" w:ascii="宋体" w:hAnsi="宋体" w:eastAsia="宋体" w:cs="宋体"/>
          <w:sz w:val="24"/>
          <w:szCs w:val="24"/>
        </w:rPr>
        <w:t>充电连接装置</w:t>
      </w:r>
    </w:p>
    <w:p w14:paraId="5063EB7A">
      <w:pPr>
        <w:pStyle w:val="7"/>
        <w:tabs>
          <w:tab w:val="left" w:pos="525"/>
          <w:tab w:val="left" w:pos="1140"/>
        </w:tabs>
        <w:spacing w:line="360" w:lineRule="auto"/>
        <w:ind w:firstLine="480" w:firstLineChars="200"/>
        <w:rPr>
          <w:rStyle w:val="314"/>
          <w:rFonts w:hint="eastAsia" w:ascii="宋体" w:hAnsi="宋体" w:eastAsia="宋体" w:cs="宋体"/>
          <w:sz w:val="24"/>
        </w:rPr>
      </w:pPr>
      <w:r>
        <w:rPr>
          <w:rStyle w:val="314"/>
          <w:rFonts w:hint="eastAsia" w:ascii="宋体" w:hAnsi="宋体" w:eastAsia="宋体" w:cs="宋体"/>
          <w:sz w:val="24"/>
          <w:szCs w:val="24"/>
        </w:rPr>
        <w:t>2</w:t>
      </w:r>
      <w:r>
        <w:rPr>
          <w:rStyle w:val="314"/>
          <w:rFonts w:hint="eastAsia" w:ascii="宋体" w:hAnsi="宋体" w:eastAsia="宋体" w:cs="宋体"/>
          <w:sz w:val="24"/>
          <w:szCs w:val="24"/>
        </w:rPr>
        <w:t>.4.4.1.1</w:t>
      </w:r>
      <w:r>
        <w:rPr>
          <w:rStyle w:val="314"/>
          <w:rFonts w:hint="eastAsia" w:ascii="宋体" w:hAnsi="宋体" w:eastAsia="宋体" w:cs="宋体"/>
          <w:sz w:val="24"/>
        </w:rPr>
        <w:t>交流充电</w:t>
      </w:r>
      <w:r>
        <w:rPr>
          <w:rStyle w:val="314"/>
          <w:rFonts w:hint="eastAsia" w:ascii="宋体" w:hAnsi="宋体" w:eastAsia="宋体" w:cs="宋体"/>
          <w:sz w:val="24"/>
        </w:rPr>
        <w:t>桩</w:t>
      </w:r>
      <w:r>
        <w:rPr>
          <w:rStyle w:val="314"/>
          <w:rFonts w:hint="eastAsia" w:ascii="宋体" w:hAnsi="宋体" w:eastAsia="宋体" w:cs="宋体"/>
          <w:sz w:val="24"/>
        </w:rPr>
        <w:t>采用GB/T18487.1-2015附录A中规定的充电模式</w:t>
      </w:r>
      <w:r>
        <w:rPr>
          <w:rStyle w:val="314"/>
          <w:rFonts w:hint="eastAsia" w:ascii="宋体" w:hAnsi="宋体" w:eastAsia="宋体" w:cs="宋体"/>
          <w:sz w:val="24"/>
        </w:rPr>
        <w:t>3</w:t>
      </w:r>
      <w:r>
        <w:rPr>
          <w:rStyle w:val="314"/>
          <w:rFonts w:hint="eastAsia" w:ascii="宋体" w:hAnsi="宋体" w:eastAsia="宋体" w:cs="宋体"/>
          <w:sz w:val="24"/>
        </w:rPr>
        <w:t>和连接方式A</w:t>
      </w:r>
      <w:r>
        <w:rPr>
          <w:rStyle w:val="314"/>
          <w:rFonts w:hint="eastAsia" w:ascii="宋体" w:hAnsi="宋体" w:eastAsia="宋体" w:cs="宋体"/>
          <w:sz w:val="24"/>
        </w:rPr>
        <w:t>、B、</w:t>
      </w:r>
      <w:r>
        <w:rPr>
          <w:rStyle w:val="314"/>
          <w:rFonts w:hint="eastAsia" w:ascii="宋体" w:hAnsi="宋体" w:eastAsia="宋体" w:cs="宋体"/>
          <w:sz w:val="24"/>
        </w:rPr>
        <w:t>C对电动汽车进行充电，采用三相供电且电流大于32A时，应采用连接方式C。充电接口应满足GB/T20234.1-2015和</w:t>
      </w:r>
      <w:r>
        <w:rPr>
          <w:rStyle w:val="314"/>
          <w:rFonts w:hint="eastAsia" w:ascii="宋体" w:hAnsi="宋体" w:eastAsia="宋体" w:cs="宋体"/>
          <w:sz w:val="24"/>
        </w:rPr>
        <w:t>GB/T20234.2-2015</w:t>
      </w:r>
      <w:r>
        <w:rPr>
          <w:rStyle w:val="314"/>
          <w:rFonts w:hint="eastAsia" w:ascii="宋体" w:hAnsi="宋体" w:eastAsia="宋体" w:cs="宋体"/>
          <w:sz w:val="24"/>
        </w:rPr>
        <w:t>的规定。</w:t>
      </w:r>
    </w:p>
    <w:p w14:paraId="10485BD4">
      <w:pPr>
        <w:pStyle w:val="7"/>
        <w:tabs>
          <w:tab w:val="left" w:pos="525"/>
          <w:tab w:val="left" w:pos="1140"/>
        </w:tabs>
        <w:spacing w:line="360" w:lineRule="auto"/>
        <w:ind w:firstLine="480" w:firstLineChars="200"/>
        <w:rPr>
          <w:rStyle w:val="314"/>
          <w:rFonts w:hint="eastAsia" w:ascii="宋体" w:hAnsi="宋体" w:eastAsia="宋体" w:cs="宋体"/>
          <w:sz w:val="24"/>
        </w:rPr>
      </w:pPr>
      <w:r>
        <w:rPr>
          <w:rStyle w:val="314"/>
          <w:rFonts w:hint="eastAsia" w:ascii="宋体" w:hAnsi="宋体" w:eastAsia="宋体" w:cs="宋体"/>
          <w:sz w:val="24"/>
          <w:szCs w:val="24"/>
        </w:rPr>
        <w:t>2</w:t>
      </w:r>
      <w:r>
        <w:rPr>
          <w:rStyle w:val="314"/>
          <w:rFonts w:hint="eastAsia" w:ascii="宋体" w:hAnsi="宋体" w:eastAsia="宋体" w:cs="宋体"/>
          <w:sz w:val="24"/>
          <w:szCs w:val="24"/>
        </w:rPr>
        <w:t>.4.4.1.2</w:t>
      </w:r>
      <w:r>
        <w:rPr>
          <w:rStyle w:val="314"/>
          <w:rFonts w:hint="eastAsia" w:ascii="宋体" w:hAnsi="宋体" w:eastAsia="宋体" w:cs="宋体"/>
          <w:sz w:val="24"/>
        </w:rPr>
        <w:t>当</w:t>
      </w:r>
      <w:r>
        <w:rPr>
          <w:rStyle w:val="314"/>
          <w:rFonts w:hint="eastAsia" w:ascii="宋体" w:hAnsi="宋体" w:eastAsia="宋体" w:cs="宋体"/>
          <w:sz w:val="24"/>
        </w:rPr>
        <w:t>交流</w:t>
      </w:r>
      <w:r>
        <w:rPr>
          <w:rStyle w:val="314"/>
          <w:rFonts w:hint="eastAsia" w:ascii="宋体" w:hAnsi="宋体" w:eastAsia="宋体" w:cs="宋体"/>
          <w:sz w:val="24"/>
        </w:rPr>
        <w:t>充电桩提供GB/T20234.1-2015规定的连接方式A、B所适用的供电插座时，不提供充电电缆。供电插座的功能、结构尺寸应符合</w:t>
      </w:r>
      <w:r>
        <w:rPr>
          <w:rStyle w:val="314"/>
          <w:rFonts w:hint="eastAsia" w:ascii="宋体" w:hAnsi="宋体" w:eastAsia="宋体" w:cs="宋体"/>
          <w:sz w:val="24"/>
        </w:rPr>
        <w:t>GB/T20234.2-2015</w:t>
      </w:r>
      <w:r>
        <w:rPr>
          <w:rStyle w:val="314"/>
          <w:rFonts w:hint="eastAsia" w:ascii="宋体" w:hAnsi="宋体" w:eastAsia="宋体" w:cs="宋体"/>
          <w:sz w:val="24"/>
        </w:rPr>
        <w:t>的规定，技术性能应满足GB/T20234.1-2015的规定。</w:t>
      </w:r>
    </w:p>
    <w:p w14:paraId="09BA52C6">
      <w:pPr>
        <w:pStyle w:val="7"/>
        <w:tabs>
          <w:tab w:val="left" w:pos="525"/>
          <w:tab w:val="left" w:pos="1140"/>
        </w:tabs>
        <w:spacing w:line="360" w:lineRule="auto"/>
        <w:ind w:firstLine="480" w:firstLineChars="200"/>
        <w:rPr>
          <w:rStyle w:val="314"/>
          <w:rFonts w:hint="eastAsia" w:ascii="宋体" w:hAnsi="宋体" w:eastAsia="宋体" w:cs="宋体"/>
          <w:sz w:val="24"/>
        </w:rPr>
      </w:pPr>
      <w:r>
        <w:rPr>
          <w:rStyle w:val="314"/>
          <w:rFonts w:hint="eastAsia" w:ascii="宋体" w:hAnsi="宋体" w:eastAsia="宋体" w:cs="宋体"/>
          <w:sz w:val="24"/>
          <w:szCs w:val="24"/>
        </w:rPr>
        <w:t>2</w:t>
      </w:r>
      <w:r>
        <w:rPr>
          <w:rStyle w:val="314"/>
          <w:rFonts w:hint="eastAsia" w:ascii="宋体" w:hAnsi="宋体" w:eastAsia="宋体" w:cs="宋体"/>
          <w:sz w:val="24"/>
          <w:szCs w:val="24"/>
        </w:rPr>
        <w:t>.4.4.1.3</w:t>
      </w:r>
      <w:r>
        <w:rPr>
          <w:rStyle w:val="314"/>
          <w:rFonts w:hint="eastAsia" w:ascii="宋体" w:hAnsi="宋体" w:eastAsia="宋体" w:cs="宋体"/>
          <w:sz w:val="24"/>
        </w:rPr>
        <w:t>当</w:t>
      </w:r>
      <w:r>
        <w:rPr>
          <w:rStyle w:val="314"/>
          <w:rFonts w:hint="eastAsia" w:ascii="宋体" w:hAnsi="宋体" w:eastAsia="宋体" w:cs="宋体"/>
          <w:sz w:val="24"/>
        </w:rPr>
        <w:t>交流</w:t>
      </w:r>
      <w:r>
        <w:rPr>
          <w:rStyle w:val="314"/>
          <w:rFonts w:hint="eastAsia" w:ascii="宋体" w:hAnsi="宋体" w:eastAsia="宋体" w:cs="宋体"/>
          <w:sz w:val="24"/>
        </w:rPr>
        <w:t>充电桩提供GB/T20234.1-2015规定的连接方式</w:t>
      </w:r>
      <w:r>
        <w:rPr>
          <w:rStyle w:val="314"/>
          <w:rFonts w:hint="eastAsia" w:ascii="宋体" w:hAnsi="宋体" w:eastAsia="宋体" w:cs="宋体"/>
          <w:sz w:val="24"/>
        </w:rPr>
        <w:t>C</w:t>
      </w:r>
      <w:r>
        <w:rPr>
          <w:rStyle w:val="314"/>
          <w:rFonts w:hint="eastAsia" w:ascii="宋体" w:hAnsi="宋体" w:eastAsia="宋体" w:cs="宋体"/>
          <w:sz w:val="24"/>
        </w:rPr>
        <w:t>所适用的充电</w:t>
      </w:r>
      <w:r>
        <w:rPr>
          <w:rStyle w:val="314"/>
          <w:rFonts w:hint="eastAsia" w:ascii="宋体" w:hAnsi="宋体" w:eastAsia="宋体" w:cs="宋体"/>
          <w:sz w:val="24"/>
        </w:rPr>
        <w:t>电缆和</w:t>
      </w:r>
      <w:r>
        <w:rPr>
          <w:rStyle w:val="314"/>
          <w:rFonts w:hint="eastAsia" w:ascii="宋体" w:hAnsi="宋体" w:eastAsia="宋体" w:cs="宋体"/>
          <w:sz w:val="24"/>
        </w:rPr>
        <w:t>车辆插头时，车辆插头的功能、结构尺寸应符合</w:t>
      </w:r>
      <w:r>
        <w:rPr>
          <w:rStyle w:val="314"/>
          <w:rFonts w:hint="eastAsia" w:ascii="宋体" w:hAnsi="宋体" w:eastAsia="宋体" w:cs="宋体"/>
          <w:sz w:val="24"/>
        </w:rPr>
        <w:t>GB/T20234.2-2015</w:t>
      </w:r>
      <w:r>
        <w:rPr>
          <w:rStyle w:val="314"/>
          <w:rFonts w:hint="eastAsia" w:ascii="宋体" w:hAnsi="宋体" w:eastAsia="宋体" w:cs="宋体"/>
          <w:sz w:val="24"/>
        </w:rPr>
        <w:t>的规定，技术性能应满足GB/T20234.1-2015的规定。</w:t>
      </w:r>
    </w:p>
    <w:p w14:paraId="262BC726">
      <w:pPr>
        <w:pStyle w:val="7"/>
        <w:tabs>
          <w:tab w:val="left" w:pos="525"/>
          <w:tab w:val="left" w:pos="1140"/>
        </w:tabs>
        <w:spacing w:line="360" w:lineRule="auto"/>
        <w:ind w:firstLine="480" w:firstLineChars="200"/>
        <w:rPr>
          <w:rStyle w:val="314"/>
          <w:rFonts w:hint="eastAsia" w:ascii="宋体" w:hAnsi="宋体" w:eastAsia="宋体" w:cs="宋体"/>
          <w:sz w:val="24"/>
          <w:szCs w:val="24"/>
        </w:rPr>
      </w:pPr>
      <w:r>
        <w:rPr>
          <w:rStyle w:val="314"/>
          <w:rFonts w:hint="eastAsia" w:ascii="宋体" w:hAnsi="宋体" w:eastAsia="宋体" w:cs="宋体"/>
          <w:sz w:val="24"/>
          <w:szCs w:val="24"/>
        </w:rPr>
        <w:t>2</w:t>
      </w:r>
      <w:r>
        <w:rPr>
          <w:rStyle w:val="314"/>
          <w:rFonts w:hint="eastAsia" w:ascii="宋体" w:hAnsi="宋体" w:eastAsia="宋体" w:cs="宋体"/>
          <w:sz w:val="24"/>
          <w:szCs w:val="24"/>
        </w:rPr>
        <w:t>.4.4.2</w:t>
      </w:r>
      <w:r>
        <w:rPr>
          <w:rStyle w:val="314"/>
          <w:rFonts w:hint="eastAsia" w:ascii="宋体" w:hAnsi="宋体" w:eastAsia="宋体" w:cs="宋体"/>
          <w:sz w:val="24"/>
          <w:szCs w:val="24"/>
        </w:rPr>
        <w:t>充电桩体</w:t>
      </w:r>
    </w:p>
    <w:p w14:paraId="499E018F">
      <w:pPr>
        <w:pStyle w:val="7"/>
        <w:tabs>
          <w:tab w:val="left" w:pos="525"/>
          <w:tab w:val="left" w:pos="1140"/>
        </w:tabs>
        <w:spacing w:line="360" w:lineRule="auto"/>
        <w:ind w:firstLine="480" w:firstLineChars="200"/>
        <w:rPr>
          <w:rStyle w:val="314"/>
          <w:rFonts w:hint="eastAsia" w:ascii="宋体" w:hAnsi="宋体" w:eastAsia="宋体" w:cs="宋体"/>
          <w:sz w:val="24"/>
        </w:rPr>
      </w:pPr>
      <w:r>
        <w:rPr>
          <w:rStyle w:val="314"/>
          <w:rFonts w:hint="eastAsia" w:ascii="宋体" w:hAnsi="宋体" w:eastAsia="宋体" w:cs="宋体"/>
          <w:sz w:val="24"/>
          <w:szCs w:val="24"/>
        </w:rPr>
        <w:t>2</w:t>
      </w:r>
      <w:r>
        <w:rPr>
          <w:rStyle w:val="314"/>
          <w:rFonts w:hint="eastAsia" w:ascii="宋体" w:hAnsi="宋体" w:eastAsia="宋体" w:cs="宋体"/>
          <w:sz w:val="24"/>
          <w:szCs w:val="24"/>
        </w:rPr>
        <w:t>.4.4.2.1</w:t>
      </w:r>
      <w:r>
        <w:rPr>
          <w:rStyle w:val="314"/>
          <w:rFonts w:hint="eastAsia" w:ascii="宋体" w:hAnsi="宋体" w:eastAsia="宋体" w:cs="宋体"/>
          <w:sz w:val="24"/>
        </w:rPr>
        <w:t>桩体应外观线条流畅、整体紧凑、简洁时尚，与安装地点</w:t>
      </w:r>
      <w:r>
        <w:rPr>
          <w:rStyle w:val="314"/>
          <w:rFonts w:hint="eastAsia" w:ascii="宋体" w:hAnsi="宋体" w:eastAsia="宋体" w:cs="宋体"/>
          <w:sz w:val="24"/>
        </w:rPr>
        <w:t>周边</w:t>
      </w:r>
      <w:r>
        <w:rPr>
          <w:rStyle w:val="314"/>
          <w:rFonts w:hint="eastAsia" w:ascii="宋体" w:hAnsi="宋体" w:eastAsia="宋体" w:cs="宋体"/>
          <w:sz w:val="24"/>
        </w:rPr>
        <w:t>环境相协调。</w:t>
      </w:r>
    </w:p>
    <w:p w14:paraId="4D33842F">
      <w:pPr>
        <w:pStyle w:val="7"/>
        <w:tabs>
          <w:tab w:val="left" w:pos="525"/>
          <w:tab w:val="left" w:pos="1140"/>
        </w:tabs>
        <w:spacing w:line="360" w:lineRule="auto"/>
        <w:ind w:firstLine="480" w:firstLineChars="200"/>
        <w:rPr>
          <w:rStyle w:val="314"/>
          <w:rFonts w:hint="eastAsia" w:ascii="宋体" w:hAnsi="宋体" w:eastAsia="宋体" w:cs="宋体"/>
          <w:sz w:val="24"/>
        </w:rPr>
      </w:pPr>
      <w:r>
        <w:rPr>
          <w:rStyle w:val="314"/>
          <w:rFonts w:hint="eastAsia" w:ascii="宋体" w:hAnsi="宋体" w:eastAsia="宋体" w:cs="宋体"/>
          <w:sz w:val="24"/>
          <w:szCs w:val="24"/>
        </w:rPr>
        <w:t>2</w:t>
      </w:r>
      <w:r>
        <w:rPr>
          <w:rStyle w:val="314"/>
          <w:rFonts w:hint="eastAsia" w:ascii="宋体" w:hAnsi="宋体" w:eastAsia="宋体" w:cs="宋体"/>
          <w:sz w:val="24"/>
          <w:szCs w:val="24"/>
        </w:rPr>
        <w:t>.4.4.2.2</w:t>
      </w:r>
      <w:r>
        <w:rPr>
          <w:rStyle w:val="314"/>
          <w:rFonts w:hint="eastAsia" w:ascii="宋体" w:hAnsi="宋体" w:eastAsia="宋体" w:cs="宋体"/>
          <w:sz w:val="24"/>
        </w:rPr>
        <w:t>桩体</w:t>
      </w:r>
      <w:r>
        <w:rPr>
          <w:rStyle w:val="314"/>
          <w:rFonts w:hint="eastAsia" w:ascii="宋体" w:hAnsi="宋体" w:eastAsia="宋体" w:cs="宋体"/>
          <w:sz w:val="24"/>
        </w:rPr>
        <w:t>应具备安装</w:t>
      </w:r>
      <w:r>
        <w:rPr>
          <w:rStyle w:val="314"/>
          <w:rFonts w:hint="eastAsia" w:ascii="宋体" w:hAnsi="宋体" w:eastAsia="宋体" w:cs="宋体"/>
          <w:sz w:val="24"/>
        </w:rPr>
        <w:t>4</w:t>
      </w:r>
      <w:r>
        <w:rPr>
          <w:rStyle w:val="314"/>
          <w:rFonts w:hint="eastAsia" w:ascii="宋体" w:hAnsi="宋体" w:eastAsia="宋体" w:cs="宋体"/>
          <w:sz w:val="24"/>
        </w:rPr>
        <w:t>G</w:t>
      </w:r>
      <w:r>
        <w:rPr>
          <w:rStyle w:val="314"/>
          <w:rFonts w:hint="eastAsia" w:ascii="宋体" w:hAnsi="宋体" w:eastAsia="宋体" w:cs="宋体"/>
          <w:sz w:val="24"/>
        </w:rPr>
        <w:t>通信模块</w:t>
      </w:r>
      <w:r>
        <w:rPr>
          <w:rStyle w:val="314"/>
          <w:rFonts w:hint="eastAsia" w:ascii="宋体" w:hAnsi="宋体" w:eastAsia="宋体" w:cs="宋体"/>
          <w:sz w:val="24"/>
        </w:rPr>
        <w:t>天线的位置，并</w:t>
      </w:r>
      <w:r>
        <w:rPr>
          <w:rStyle w:val="314"/>
          <w:rFonts w:hint="eastAsia" w:ascii="宋体" w:hAnsi="宋体" w:eastAsia="宋体" w:cs="宋体"/>
          <w:sz w:val="24"/>
        </w:rPr>
        <w:t>确保壳体不</w:t>
      </w:r>
      <w:r>
        <w:rPr>
          <w:rStyle w:val="314"/>
          <w:rFonts w:hint="eastAsia" w:ascii="宋体" w:hAnsi="宋体" w:eastAsia="宋体" w:cs="宋体"/>
          <w:sz w:val="24"/>
        </w:rPr>
        <w:t>对</w:t>
      </w:r>
      <w:r>
        <w:rPr>
          <w:rStyle w:val="314"/>
          <w:rFonts w:hint="eastAsia" w:ascii="宋体" w:hAnsi="宋体" w:eastAsia="宋体" w:cs="宋体"/>
          <w:sz w:val="24"/>
        </w:rPr>
        <w:t>通信模块接收</w:t>
      </w:r>
      <w:r>
        <w:rPr>
          <w:rStyle w:val="314"/>
          <w:rFonts w:hint="eastAsia" w:ascii="宋体" w:hAnsi="宋体" w:eastAsia="宋体" w:cs="宋体"/>
          <w:sz w:val="24"/>
        </w:rPr>
        <w:t>信号</w:t>
      </w:r>
      <w:r>
        <w:rPr>
          <w:rStyle w:val="314"/>
          <w:rFonts w:hint="eastAsia" w:ascii="宋体" w:hAnsi="宋体" w:eastAsia="宋体" w:cs="宋体"/>
          <w:sz w:val="24"/>
        </w:rPr>
        <w:t>产生</w:t>
      </w:r>
      <w:r>
        <w:rPr>
          <w:rStyle w:val="314"/>
          <w:rFonts w:hint="eastAsia" w:ascii="宋体" w:hAnsi="宋体" w:eastAsia="宋体" w:cs="宋体"/>
          <w:sz w:val="24"/>
        </w:rPr>
        <w:t>负面影响。</w:t>
      </w:r>
    </w:p>
    <w:p w14:paraId="7979382A">
      <w:pPr>
        <w:pStyle w:val="7"/>
        <w:tabs>
          <w:tab w:val="left" w:pos="525"/>
          <w:tab w:val="left" w:pos="1140"/>
        </w:tabs>
        <w:spacing w:line="360" w:lineRule="auto"/>
        <w:ind w:firstLine="480" w:firstLineChars="200"/>
        <w:rPr>
          <w:rStyle w:val="314"/>
          <w:rFonts w:hint="eastAsia" w:ascii="宋体" w:hAnsi="宋体" w:eastAsia="宋体" w:cs="宋体"/>
          <w:sz w:val="24"/>
        </w:rPr>
      </w:pPr>
      <w:r>
        <w:rPr>
          <w:rStyle w:val="314"/>
          <w:rFonts w:hint="eastAsia" w:ascii="宋体" w:hAnsi="宋体" w:eastAsia="宋体" w:cs="宋体"/>
          <w:sz w:val="24"/>
          <w:szCs w:val="24"/>
        </w:rPr>
        <w:t>2</w:t>
      </w:r>
      <w:r>
        <w:rPr>
          <w:rStyle w:val="314"/>
          <w:rFonts w:hint="eastAsia" w:ascii="宋体" w:hAnsi="宋体" w:eastAsia="宋体" w:cs="宋体"/>
          <w:sz w:val="24"/>
          <w:szCs w:val="24"/>
        </w:rPr>
        <w:t>.4.4.2.3</w:t>
      </w:r>
      <w:r>
        <w:rPr>
          <w:rStyle w:val="314"/>
          <w:rFonts w:hint="eastAsia" w:ascii="宋体" w:hAnsi="宋体" w:eastAsia="宋体" w:cs="宋体"/>
          <w:sz w:val="24"/>
        </w:rPr>
        <w:t>桩体内部线束，应</w:t>
      </w:r>
      <w:r>
        <w:rPr>
          <w:rStyle w:val="314"/>
          <w:rFonts w:hint="eastAsia" w:ascii="宋体" w:hAnsi="宋体" w:eastAsia="宋体" w:cs="宋体"/>
          <w:sz w:val="24"/>
        </w:rPr>
        <w:t>排布整齐、</w:t>
      </w:r>
      <w:r>
        <w:rPr>
          <w:rStyle w:val="314"/>
          <w:rFonts w:hint="eastAsia" w:ascii="宋体" w:hAnsi="宋体" w:eastAsia="宋体" w:cs="宋体"/>
          <w:sz w:val="24"/>
        </w:rPr>
        <w:t>规整</w:t>
      </w:r>
      <w:r>
        <w:rPr>
          <w:rStyle w:val="314"/>
          <w:rFonts w:hint="eastAsia" w:ascii="宋体" w:hAnsi="宋体" w:eastAsia="宋体" w:cs="宋体"/>
          <w:sz w:val="24"/>
        </w:rPr>
        <w:t>，</w:t>
      </w:r>
      <w:r>
        <w:rPr>
          <w:rStyle w:val="314"/>
          <w:rFonts w:hint="eastAsia" w:ascii="宋体" w:hAnsi="宋体" w:eastAsia="宋体" w:cs="宋体"/>
          <w:sz w:val="24"/>
        </w:rPr>
        <w:t>标识</w:t>
      </w:r>
      <w:r>
        <w:rPr>
          <w:rStyle w:val="314"/>
          <w:rFonts w:hint="eastAsia" w:ascii="宋体" w:hAnsi="宋体" w:eastAsia="宋体" w:cs="宋体"/>
          <w:sz w:val="24"/>
        </w:rPr>
        <w:t>清楚</w:t>
      </w:r>
      <w:r>
        <w:rPr>
          <w:rStyle w:val="314"/>
          <w:rFonts w:hint="eastAsia" w:ascii="宋体" w:hAnsi="宋体" w:eastAsia="宋体" w:cs="宋体"/>
          <w:sz w:val="24"/>
        </w:rPr>
        <w:t>，</w:t>
      </w:r>
      <w:r>
        <w:rPr>
          <w:rStyle w:val="314"/>
          <w:rFonts w:hint="eastAsia" w:ascii="宋体" w:hAnsi="宋体" w:eastAsia="宋体" w:cs="宋体"/>
          <w:sz w:val="24"/>
        </w:rPr>
        <w:t>捆扎牢固。</w:t>
      </w:r>
    </w:p>
    <w:p w14:paraId="752F8918">
      <w:pPr>
        <w:pStyle w:val="7"/>
        <w:tabs>
          <w:tab w:val="left" w:pos="525"/>
          <w:tab w:val="left" w:pos="1140"/>
        </w:tabs>
        <w:spacing w:line="360" w:lineRule="auto"/>
        <w:ind w:firstLine="480" w:firstLineChars="200"/>
        <w:rPr>
          <w:rStyle w:val="314"/>
          <w:rFonts w:hint="eastAsia" w:ascii="宋体" w:hAnsi="宋体" w:eastAsia="宋体" w:cs="宋体"/>
          <w:sz w:val="24"/>
        </w:rPr>
      </w:pPr>
      <w:r>
        <w:rPr>
          <w:rStyle w:val="314"/>
          <w:rFonts w:hint="eastAsia" w:ascii="宋体" w:hAnsi="宋体" w:eastAsia="宋体" w:cs="宋体"/>
          <w:sz w:val="24"/>
          <w:szCs w:val="24"/>
        </w:rPr>
        <w:t>2</w:t>
      </w:r>
      <w:r>
        <w:rPr>
          <w:rStyle w:val="314"/>
          <w:rFonts w:hint="eastAsia" w:ascii="宋体" w:hAnsi="宋体" w:eastAsia="宋体" w:cs="宋体"/>
          <w:sz w:val="24"/>
          <w:szCs w:val="24"/>
        </w:rPr>
        <w:t>.4.4.2.4</w:t>
      </w:r>
      <w:r>
        <w:rPr>
          <w:rStyle w:val="314"/>
          <w:rFonts w:hint="eastAsia" w:ascii="宋体" w:hAnsi="宋体" w:eastAsia="宋体" w:cs="宋体"/>
          <w:sz w:val="24"/>
        </w:rPr>
        <w:t>桩体内元器件应</w:t>
      </w:r>
      <w:r>
        <w:rPr>
          <w:rStyle w:val="314"/>
          <w:rFonts w:hint="eastAsia" w:ascii="宋体" w:hAnsi="宋体" w:eastAsia="宋体" w:cs="宋体"/>
          <w:sz w:val="24"/>
        </w:rPr>
        <w:t>布局</w:t>
      </w:r>
      <w:r>
        <w:rPr>
          <w:rStyle w:val="314"/>
          <w:rFonts w:hint="eastAsia" w:ascii="宋体" w:hAnsi="宋体" w:eastAsia="宋体" w:cs="宋体"/>
          <w:sz w:val="24"/>
        </w:rPr>
        <w:t>合理，易耗</w:t>
      </w:r>
      <w:r>
        <w:rPr>
          <w:rStyle w:val="314"/>
          <w:rFonts w:hint="eastAsia" w:ascii="宋体" w:hAnsi="宋体" w:eastAsia="宋体" w:cs="宋体"/>
          <w:sz w:val="24"/>
        </w:rPr>
        <w:t>易损元件</w:t>
      </w:r>
      <w:r>
        <w:rPr>
          <w:rStyle w:val="314"/>
          <w:rFonts w:hint="eastAsia" w:ascii="宋体" w:hAnsi="宋体" w:eastAsia="宋体" w:cs="宋体"/>
          <w:sz w:val="24"/>
        </w:rPr>
        <w:t>方便</w:t>
      </w:r>
      <w:r>
        <w:rPr>
          <w:rStyle w:val="314"/>
          <w:rFonts w:hint="eastAsia" w:ascii="宋体" w:hAnsi="宋体" w:eastAsia="宋体" w:cs="宋体"/>
          <w:sz w:val="24"/>
        </w:rPr>
        <w:t>更换。</w:t>
      </w:r>
    </w:p>
    <w:p w14:paraId="62FEC8FE">
      <w:pPr>
        <w:pStyle w:val="7"/>
        <w:tabs>
          <w:tab w:val="left" w:pos="525"/>
          <w:tab w:val="left" w:pos="1140"/>
        </w:tabs>
        <w:spacing w:line="360" w:lineRule="auto"/>
        <w:ind w:firstLine="480" w:firstLineChars="200"/>
        <w:rPr>
          <w:rStyle w:val="314"/>
          <w:rFonts w:hint="eastAsia" w:ascii="宋体" w:hAnsi="宋体" w:eastAsia="宋体" w:cs="宋体"/>
          <w:sz w:val="24"/>
        </w:rPr>
      </w:pPr>
      <w:r>
        <w:rPr>
          <w:rStyle w:val="314"/>
          <w:rFonts w:hint="eastAsia" w:ascii="宋体" w:hAnsi="宋体" w:eastAsia="宋体" w:cs="宋体"/>
          <w:sz w:val="24"/>
          <w:szCs w:val="24"/>
        </w:rPr>
        <w:t>2</w:t>
      </w:r>
      <w:r>
        <w:rPr>
          <w:rStyle w:val="314"/>
          <w:rFonts w:hint="eastAsia" w:ascii="宋体" w:hAnsi="宋体" w:eastAsia="宋体" w:cs="宋体"/>
          <w:sz w:val="24"/>
          <w:szCs w:val="24"/>
        </w:rPr>
        <w:t>.4.4.2.5</w:t>
      </w:r>
      <w:r>
        <w:rPr>
          <w:rStyle w:val="314"/>
          <w:rFonts w:hint="eastAsia" w:ascii="宋体" w:hAnsi="宋体" w:eastAsia="宋体" w:cs="宋体"/>
          <w:sz w:val="24"/>
        </w:rPr>
        <w:t>桩体安装</w:t>
      </w:r>
      <w:r>
        <w:rPr>
          <w:rStyle w:val="314"/>
          <w:rFonts w:hint="eastAsia" w:ascii="宋体" w:hAnsi="宋体" w:eastAsia="宋体" w:cs="宋体"/>
          <w:sz w:val="24"/>
        </w:rPr>
        <w:t>于户外时，应</w:t>
      </w:r>
      <w:r>
        <w:rPr>
          <w:rStyle w:val="314"/>
          <w:rFonts w:hint="eastAsia" w:ascii="宋体" w:hAnsi="宋体" w:eastAsia="宋体" w:cs="宋体"/>
          <w:sz w:val="24"/>
        </w:rPr>
        <w:t>便于特殊</w:t>
      </w:r>
      <w:r>
        <w:rPr>
          <w:rStyle w:val="314"/>
          <w:rFonts w:hint="eastAsia" w:ascii="宋体" w:hAnsi="宋体" w:eastAsia="宋体" w:cs="宋体"/>
          <w:sz w:val="24"/>
        </w:rPr>
        <w:t>天气条件下的</w:t>
      </w:r>
      <w:r>
        <w:rPr>
          <w:rStyle w:val="314"/>
          <w:rFonts w:hint="eastAsia" w:ascii="宋体" w:hAnsi="宋体" w:eastAsia="宋体" w:cs="宋体"/>
          <w:sz w:val="24"/>
        </w:rPr>
        <w:t>日常</w:t>
      </w:r>
      <w:r>
        <w:rPr>
          <w:rStyle w:val="314"/>
          <w:rFonts w:hint="eastAsia" w:ascii="宋体" w:hAnsi="宋体" w:eastAsia="宋体" w:cs="宋体"/>
          <w:sz w:val="24"/>
        </w:rPr>
        <w:t>维护。</w:t>
      </w:r>
    </w:p>
    <w:p w14:paraId="7FC10334">
      <w:pPr>
        <w:pStyle w:val="7"/>
        <w:tabs>
          <w:tab w:val="left" w:pos="525"/>
          <w:tab w:val="left" w:pos="1140"/>
        </w:tabs>
        <w:spacing w:line="360" w:lineRule="auto"/>
        <w:ind w:firstLine="480" w:firstLineChars="200"/>
        <w:rPr>
          <w:rStyle w:val="314"/>
          <w:rFonts w:hint="eastAsia" w:ascii="宋体" w:hAnsi="宋体" w:eastAsia="宋体" w:cs="宋体"/>
          <w:sz w:val="24"/>
        </w:rPr>
      </w:pPr>
      <w:r>
        <w:rPr>
          <w:rStyle w:val="314"/>
          <w:rFonts w:hint="eastAsia" w:ascii="宋体" w:hAnsi="宋体" w:eastAsia="宋体" w:cs="宋体"/>
          <w:sz w:val="24"/>
          <w:szCs w:val="24"/>
        </w:rPr>
        <w:t>2</w:t>
      </w:r>
      <w:r>
        <w:rPr>
          <w:rStyle w:val="314"/>
          <w:rFonts w:hint="eastAsia" w:ascii="宋体" w:hAnsi="宋体" w:eastAsia="宋体" w:cs="宋体"/>
          <w:sz w:val="24"/>
          <w:szCs w:val="24"/>
        </w:rPr>
        <w:t>.4.4.2.6</w:t>
      </w:r>
      <w:r>
        <w:rPr>
          <w:rStyle w:val="314"/>
          <w:rFonts w:hint="eastAsia" w:ascii="宋体" w:hAnsi="宋体" w:eastAsia="宋体" w:cs="宋体"/>
          <w:sz w:val="24"/>
        </w:rPr>
        <w:t>桩体应采用抗冲击力强、抗老化的材质。</w:t>
      </w:r>
    </w:p>
    <w:p w14:paraId="5B226F65">
      <w:pPr>
        <w:pStyle w:val="7"/>
        <w:tabs>
          <w:tab w:val="left" w:pos="525"/>
          <w:tab w:val="left" w:pos="1140"/>
        </w:tabs>
        <w:spacing w:line="360" w:lineRule="auto"/>
        <w:ind w:firstLine="480" w:firstLineChars="200"/>
        <w:rPr>
          <w:rStyle w:val="314"/>
          <w:rFonts w:hint="eastAsia" w:ascii="宋体" w:hAnsi="宋体" w:eastAsia="宋体" w:cs="宋体"/>
          <w:sz w:val="24"/>
        </w:rPr>
      </w:pPr>
      <w:r>
        <w:rPr>
          <w:rStyle w:val="314"/>
          <w:rFonts w:hint="eastAsia" w:ascii="宋体" w:hAnsi="宋体" w:eastAsia="宋体" w:cs="宋体"/>
          <w:sz w:val="24"/>
          <w:szCs w:val="24"/>
        </w:rPr>
        <w:t>2</w:t>
      </w:r>
      <w:r>
        <w:rPr>
          <w:rStyle w:val="314"/>
          <w:rFonts w:hint="eastAsia" w:ascii="宋体" w:hAnsi="宋体" w:eastAsia="宋体" w:cs="宋体"/>
          <w:sz w:val="24"/>
          <w:szCs w:val="24"/>
        </w:rPr>
        <w:t>.4.4.2.7</w:t>
      </w:r>
      <w:r>
        <w:rPr>
          <w:rStyle w:val="314"/>
          <w:rFonts w:hint="eastAsia" w:ascii="宋体" w:hAnsi="宋体" w:eastAsia="宋体" w:cs="宋体"/>
          <w:sz w:val="24"/>
        </w:rPr>
        <w:t>桩体表面涂覆色泽层应均匀光洁，不起泡、不龟裂、不脱落。</w:t>
      </w:r>
    </w:p>
    <w:p w14:paraId="27573711">
      <w:pPr>
        <w:pStyle w:val="7"/>
        <w:tabs>
          <w:tab w:val="left" w:pos="525"/>
          <w:tab w:val="left" w:pos="1140"/>
        </w:tabs>
        <w:spacing w:line="360" w:lineRule="auto"/>
        <w:ind w:firstLine="480" w:firstLineChars="200"/>
        <w:rPr>
          <w:rStyle w:val="314"/>
          <w:rFonts w:hint="eastAsia" w:ascii="宋体" w:hAnsi="宋体" w:eastAsia="宋体" w:cs="宋体"/>
          <w:sz w:val="24"/>
        </w:rPr>
      </w:pPr>
      <w:r>
        <w:rPr>
          <w:rStyle w:val="314"/>
          <w:rFonts w:hint="eastAsia" w:ascii="宋体" w:hAnsi="宋体" w:eastAsia="宋体" w:cs="宋体"/>
          <w:sz w:val="24"/>
          <w:szCs w:val="24"/>
        </w:rPr>
        <w:t>2</w:t>
      </w:r>
      <w:r>
        <w:rPr>
          <w:rStyle w:val="314"/>
          <w:rFonts w:hint="eastAsia" w:ascii="宋体" w:hAnsi="宋体" w:eastAsia="宋体" w:cs="宋体"/>
          <w:sz w:val="24"/>
          <w:szCs w:val="24"/>
        </w:rPr>
        <w:t>.4.4.2.8</w:t>
      </w:r>
      <w:r>
        <w:rPr>
          <w:rStyle w:val="314"/>
          <w:rFonts w:hint="eastAsia" w:ascii="宋体" w:hAnsi="宋体" w:eastAsia="宋体" w:cs="宋体"/>
          <w:sz w:val="24"/>
        </w:rPr>
        <w:t>桩体结构设计及安装应具备防盗能力。</w:t>
      </w:r>
    </w:p>
    <w:p w14:paraId="1DD6D386">
      <w:pPr>
        <w:pStyle w:val="7"/>
        <w:tabs>
          <w:tab w:val="left" w:pos="525"/>
          <w:tab w:val="left" w:pos="1140"/>
        </w:tabs>
        <w:spacing w:line="360" w:lineRule="auto"/>
        <w:ind w:firstLine="480" w:firstLineChars="200"/>
        <w:rPr>
          <w:rStyle w:val="314"/>
          <w:rFonts w:hint="eastAsia" w:ascii="宋体" w:hAnsi="宋体" w:eastAsia="宋体" w:cs="宋体"/>
          <w:sz w:val="24"/>
        </w:rPr>
      </w:pPr>
      <w:r>
        <w:rPr>
          <w:rStyle w:val="314"/>
          <w:rFonts w:hint="eastAsia" w:ascii="宋体" w:hAnsi="宋体" w:eastAsia="宋体" w:cs="宋体"/>
          <w:sz w:val="24"/>
          <w:szCs w:val="24"/>
        </w:rPr>
        <w:t>2</w:t>
      </w:r>
      <w:r>
        <w:rPr>
          <w:rStyle w:val="314"/>
          <w:rFonts w:hint="eastAsia" w:ascii="宋体" w:hAnsi="宋体" w:eastAsia="宋体" w:cs="宋体"/>
          <w:sz w:val="24"/>
          <w:szCs w:val="24"/>
        </w:rPr>
        <w:t>.4.4.2.9</w:t>
      </w:r>
      <w:r>
        <w:rPr>
          <w:rStyle w:val="314"/>
          <w:rFonts w:hint="eastAsia" w:ascii="宋体" w:hAnsi="宋体" w:eastAsia="宋体" w:cs="宋体"/>
          <w:sz w:val="24"/>
        </w:rPr>
        <w:t>非绝缘材料外壳应可靠接地，结构上应防止操作人员触及带电部件。</w:t>
      </w:r>
    </w:p>
    <w:p w14:paraId="79AE90F7">
      <w:pPr>
        <w:pStyle w:val="7"/>
        <w:tabs>
          <w:tab w:val="left" w:pos="525"/>
          <w:tab w:val="left" w:pos="1140"/>
        </w:tabs>
        <w:spacing w:line="360" w:lineRule="auto"/>
        <w:ind w:firstLine="480" w:firstLineChars="200"/>
        <w:rPr>
          <w:rStyle w:val="314"/>
          <w:rFonts w:hint="eastAsia" w:ascii="宋体" w:hAnsi="宋体" w:eastAsia="宋体" w:cs="宋体"/>
          <w:sz w:val="24"/>
        </w:rPr>
      </w:pPr>
      <w:r>
        <w:rPr>
          <w:rStyle w:val="314"/>
          <w:rFonts w:hint="eastAsia" w:ascii="宋体" w:hAnsi="宋体" w:eastAsia="宋体" w:cs="宋体"/>
          <w:sz w:val="24"/>
          <w:szCs w:val="24"/>
        </w:rPr>
        <w:t>2</w:t>
      </w:r>
      <w:r>
        <w:rPr>
          <w:rStyle w:val="314"/>
          <w:rFonts w:hint="eastAsia" w:ascii="宋体" w:hAnsi="宋体" w:eastAsia="宋体" w:cs="宋体"/>
          <w:sz w:val="24"/>
          <w:szCs w:val="24"/>
        </w:rPr>
        <w:t>.4.4.2.10</w:t>
      </w:r>
      <w:r>
        <w:rPr>
          <w:rStyle w:val="314"/>
          <w:rFonts w:hint="eastAsia" w:ascii="宋体" w:hAnsi="宋体" w:eastAsia="宋体" w:cs="宋体"/>
          <w:sz w:val="24"/>
        </w:rPr>
        <w:t>人机交互的操作按键和显示界面应设置在便于人操作和查看的位置。</w:t>
      </w:r>
    </w:p>
    <w:p w14:paraId="05C255A1">
      <w:pPr>
        <w:pStyle w:val="7"/>
        <w:tabs>
          <w:tab w:val="left" w:pos="525"/>
          <w:tab w:val="left" w:pos="1140"/>
        </w:tabs>
        <w:spacing w:line="360" w:lineRule="auto"/>
        <w:ind w:firstLine="480" w:firstLineChars="200"/>
        <w:rPr>
          <w:rStyle w:val="314"/>
          <w:rFonts w:hint="eastAsia" w:ascii="宋体" w:hAnsi="宋体" w:eastAsia="宋体" w:cs="宋体"/>
          <w:sz w:val="24"/>
        </w:rPr>
      </w:pPr>
      <w:r>
        <w:rPr>
          <w:rStyle w:val="314"/>
          <w:rFonts w:hint="eastAsia" w:ascii="宋体" w:hAnsi="宋体" w:eastAsia="宋体" w:cs="宋体"/>
          <w:sz w:val="24"/>
          <w:szCs w:val="24"/>
        </w:rPr>
        <w:t>2</w:t>
      </w:r>
      <w:r>
        <w:rPr>
          <w:rStyle w:val="314"/>
          <w:rFonts w:hint="eastAsia" w:ascii="宋体" w:hAnsi="宋体" w:eastAsia="宋体" w:cs="宋体"/>
          <w:sz w:val="24"/>
          <w:szCs w:val="24"/>
        </w:rPr>
        <w:t>.4.4.2.11</w:t>
      </w:r>
      <w:r>
        <w:rPr>
          <w:rStyle w:val="314"/>
          <w:rFonts w:hint="eastAsia" w:ascii="宋体" w:hAnsi="宋体" w:eastAsia="宋体" w:cs="宋体"/>
          <w:sz w:val="24"/>
        </w:rPr>
        <w:t>交流充电桩平均故障间隔时间（MTBF）应大于等于17520h。</w:t>
      </w:r>
    </w:p>
    <w:p w14:paraId="67E3D574">
      <w:pPr>
        <w:pStyle w:val="7"/>
        <w:tabs>
          <w:tab w:val="left" w:pos="525"/>
          <w:tab w:val="left" w:pos="1140"/>
        </w:tabs>
        <w:spacing w:line="360" w:lineRule="auto"/>
        <w:ind w:firstLine="480" w:firstLineChars="200"/>
        <w:rPr>
          <w:rStyle w:val="314"/>
          <w:rFonts w:hint="eastAsia" w:ascii="宋体" w:hAnsi="宋体" w:eastAsia="宋体" w:cs="宋体"/>
          <w:sz w:val="24"/>
        </w:rPr>
      </w:pPr>
      <w:r>
        <w:rPr>
          <w:rStyle w:val="314"/>
          <w:rFonts w:hint="eastAsia" w:ascii="宋体" w:hAnsi="宋体" w:eastAsia="宋体" w:cs="宋体"/>
          <w:sz w:val="24"/>
          <w:szCs w:val="24"/>
        </w:rPr>
        <w:t>2</w:t>
      </w:r>
      <w:r>
        <w:rPr>
          <w:rStyle w:val="314"/>
          <w:rFonts w:hint="eastAsia" w:ascii="宋体" w:hAnsi="宋体" w:eastAsia="宋体" w:cs="宋体"/>
          <w:sz w:val="24"/>
          <w:szCs w:val="24"/>
        </w:rPr>
        <w:t>.4.4.2.12</w:t>
      </w:r>
      <w:r>
        <w:rPr>
          <w:rStyle w:val="314"/>
          <w:rFonts w:hint="eastAsia" w:ascii="宋体" w:hAnsi="宋体" w:eastAsia="宋体" w:cs="宋体"/>
          <w:sz w:val="24"/>
        </w:rPr>
        <w:t>产品投保要求：要求厂家对所有产品进行投保，并制定相应数量的保额。</w:t>
      </w:r>
    </w:p>
    <w:p w14:paraId="5BBEF391">
      <w:pPr>
        <w:pStyle w:val="7"/>
        <w:tabs>
          <w:tab w:val="left" w:pos="525"/>
          <w:tab w:val="left" w:pos="1140"/>
        </w:tabs>
        <w:spacing w:line="360" w:lineRule="auto"/>
        <w:ind w:firstLine="480" w:firstLineChars="200"/>
        <w:rPr>
          <w:rStyle w:val="314"/>
          <w:rFonts w:hint="eastAsia" w:ascii="宋体" w:hAnsi="宋体" w:eastAsia="宋体" w:cs="宋体"/>
          <w:sz w:val="24"/>
        </w:rPr>
      </w:pPr>
      <w:r>
        <w:rPr>
          <w:rStyle w:val="314"/>
          <w:rFonts w:hint="eastAsia" w:ascii="宋体" w:hAnsi="宋体" w:eastAsia="宋体" w:cs="宋体"/>
          <w:sz w:val="24"/>
        </w:rPr>
        <w:t xml:space="preserve">2.5 </w:t>
      </w:r>
      <w:r>
        <w:rPr>
          <w:rStyle w:val="314"/>
          <w:rFonts w:hint="eastAsia" w:ascii="宋体" w:hAnsi="宋体" w:eastAsia="宋体" w:cs="宋体"/>
          <w:sz w:val="24"/>
        </w:rPr>
        <w:t>标准技术参数表</w:t>
      </w:r>
    </w:p>
    <w:tbl>
      <w:tblPr>
        <w:tblStyle w:val="38"/>
        <w:tblW w:w="5159"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57" w:type="dxa"/>
          <w:bottom w:w="0" w:type="dxa"/>
          <w:right w:w="57" w:type="dxa"/>
        </w:tblCellMar>
      </w:tblPr>
      <w:tblGrid>
        <w:gridCol w:w="1614"/>
        <w:gridCol w:w="613"/>
        <w:gridCol w:w="2589"/>
        <w:gridCol w:w="1071"/>
        <w:gridCol w:w="3899"/>
      </w:tblGrid>
      <w:tr w14:paraId="47C217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cantSplit/>
          <w:trHeight w:val="397" w:hRule="atLeast"/>
          <w:tblHeader/>
          <w:jc w:val="center"/>
        </w:trPr>
        <w:tc>
          <w:tcPr>
            <w:tcW w:w="824" w:type="pct"/>
            <w:tcBorders>
              <w:top w:val="single" w:color="auto" w:sz="8" w:space="0"/>
            </w:tcBorders>
          </w:tcPr>
          <w:p w14:paraId="1F54B5D5">
            <w:pPr>
              <w:pStyle w:val="302"/>
              <w:spacing w:before="0" w:after="0" w:line="360" w:lineRule="auto"/>
              <w:jc w:val="center"/>
              <w:rPr>
                <w:rFonts w:hint="eastAsia" w:ascii="宋体" w:hAnsi="宋体" w:eastAsia="宋体" w:cs="宋体"/>
                <w:b/>
                <w:sz w:val="24"/>
                <w:szCs w:val="24"/>
              </w:rPr>
            </w:pPr>
            <w:r>
              <w:rPr>
                <w:rFonts w:hint="eastAsia" w:ascii="宋体" w:hAnsi="宋体" w:eastAsia="宋体" w:cs="宋体"/>
                <w:b/>
                <w:sz w:val="24"/>
                <w:szCs w:val="24"/>
              </w:rPr>
              <w:t>序号</w:t>
            </w:r>
          </w:p>
        </w:tc>
        <w:tc>
          <w:tcPr>
            <w:tcW w:w="313" w:type="pct"/>
            <w:tcBorders>
              <w:top w:val="single" w:color="auto" w:sz="8" w:space="0"/>
            </w:tcBorders>
          </w:tcPr>
          <w:p w14:paraId="4DD408E1">
            <w:pPr>
              <w:pStyle w:val="302"/>
              <w:spacing w:before="0" w:after="0" w:line="360" w:lineRule="auto"/>
              <w:jc w:val="center"/>
              <w:rPr>
                <w:rFonts w:hint="eastAsia" w:ascii="宋体" w:hAnsi="宋体" w:eastAsia="宋体" w:cs="宋体"/>
                <w:b/>
                <w:sz w:val="24"/>
                <w:szCs w:val="24"/>
              </w:rPr>
            </w:pPr>
            <w:r>
              <w:rPr>
                <w:rFonts w:hint="eastAsia" w:ascii="宋体" w:hAnsi="宋体" w:eastAsia="宋体" w:cs="宋体"/>
                <w:b/>
                <w:sz w:val="24"/>
                <w:szCs w:val="24"/>
              </w:rPr>
              <w:t>名称</w:t>
            </w:r>
          </w:p>
        </w:tc>
        <w:tc>
          <w:tcPr>
            <w:tcW w:w="1322" w:type="pct"/>
            <w:tcBorders>
              <w:top w:val="single" w:color="auto" w:sz="8" w:space="0"/>
            </w:tcBorders>
            <w:tcMar>
              <w:left w:w="57" w:type="dxa"/>
              <w:right w:w="57" w:type="dxa"/>
            </w:tcMar>
            <w:vAlign w:val="center"/>
          </w:tcPr>
          <w:p w14:paraId="6EF0A0F3">
            <w:pPr>
              <w:pStyle w:val="302"/>
              <w:spacing w:before="0" w:after="0" w:line="360" w:lineRule="auto"/>
              <w:jc w:val="center"/>
              <w:rPr>
                <w:rFonts w:hint="eastAsia" w:ascii="宋体" w:hAnsi="宋体" w:eastAsia="宋体" w:cs="宋体"/>
                <w:b/>
                <w:sz w:val="24"/>
                <w:szCs w:val="24"/>
              </w:rPr>
            </w:pPr>
            <w:r>
              <w:rPr>
                <w:rFonts w:hint="eastAsia" w:ascii="宋体" w:hAnsi="宋体" w:eastAsia="宋体" w:cs="宋体"/>
                <w:b/>
                <w:sz w:val="24"/>
                <w:szCs w:val="24"/>
              </w:rPr>
              <w:t>项</w:t>
            </w:r>
            <w:r>
              <w:rPr>
                <w:rFonts w:hint="eastAsia" w:ascii="宋体" w:hAnsi="宋体" w:eastAsia="宋体" w:cs="宋体"/>
                <w:b/>
                <w:sz w:val="24"/>
                <w:szCs w:val="24"/>
              </w:rPr>
              <w:t xml:space="preserve">      </w:t>
            </w:r>
            <w:r>
              <w:rPr>
                <w:rFonts w:hint="eastAsia" w:ascii="宋体" w:hAnsi="宋体" w:eastAsia="宋体" w:cs="宋体"/>
                <w:b/>
                <w:sz w:val="24"/>
                <w:szCs w:val="24"/>
              </w:rPr>
              <w:t>目</w:t>
            </w:r>
          </w:p>
        </w:tc>
        <w:tc>
          <w:tcPr>
            <w:tcW w:w="547" w:type="pct"/>
            <w:tcBorders>
              <w:top w:val="single" w:color="auto" w:sz="8" w:space="0"/>
            </w:tcBorders>
            <w:tcMar>
              <w:left w:w="57" w:type="dxa"/>
              <w:right w:w="57" w:type="dxa"/>
            </w:tcMar>
            <w:vAlign w:val="center"/>
          </w:tcPr>
          <w:p w14:paraId="56235DD5">
            <w:pPr>
              <w:pStyle w:val="302"/>
              <w:spacing w:before="0" w:after="0" w:line="360" w:lineRule="auto"/>
              <w:jc w:val="center"/>
              <w:rPr>
                <w:rFonts w:hint="eastAsia" w:ascii="宋体" w:hAnsi="宋体" w:eastAsia="宋体" w:cs="宋体"/>
                <w:b/>
                <w:sz w:val="24"/>
                <w:szCs w:val="24"/>
              </w:rPr>
            </w:pPr>
            <w:r>
              <w:rPr>
                <w:rFonts w:hint="eastAsia" w:ascii="宋体" w:hAnsi="宋体" w:eastAsia="宋体" w:cs="宋体"/>
                <w:b/>
                <w:sz w:val="24"/>
                <w:szCs w:val="24"/>
              </w:rPr>
              <w:t>单位</w:t>
            </w:r>
          </w:p>
        </w:tc>
        <w:tc>
          <w:tcPr>
            <w:tcW w:w="1991" w:type="pct"/>
            <w:tcBorders>
              <w:top w:val="single" w:color="auto" w:sz="8" w:space="0"/>
            </w:tcBorders>
            <w:tcMar>
              <w:left w:w="57" w:type="dxa"/>
              <w:right w:w="57" w:type="dxa"/>
            </w:tcMar>
            <w:vAlign w:val="center"/>
          </w:tcPr>
          <w:p w14:paraId="5A91B29A">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b/>
                <w:sz w:val="24"/>
                <w:szCs w:val="24"/>
              </w:rPr>
              <w:t>标准参数值</w:t>
            </w:r>
          </w:p>
        </w:tc>
      </w:tr>
      <w:tr w14:paraId="620CEF3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824" w:type="pct"/>
          </w:tcPr>
          <w:p w14:paraId="4B815576">
            <w:pPr>
              <w:pStyle w:val="302"/>
              <w:spacing w:before="0" w:after="0"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w:t>
            </w:r>
          </w:p>
        </w:tc>
        <w:tc>
          <w:tcPr>
            <w:tcW w:w="313" w:type="pct"/>
            <w:vMerge w:val="restart"/>
            <w:tcMar>
              <w:left w:w="57" w:type="dxa"/>
              <w:right w:w="57" w:type="dxa"/>
            </w:tcMar>
            <w:vAlign w:val="center"/>
          </w:tcPr>
          <w:p w14:paraId="3895F230">
            <w:pPr>
              <w:pStyle w:val="302"/>
              <w:spacing w:before="0" w:after="0"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交流充电桩</w:t>
            </w:r>
          </w:p>
        </w:tc>
        <w:tc>
          <w:tcPr>
            <w:tcW w:w="1322" w:type="pct"/>
            <w:tcMar>
              <w:left w:w="57" w:type="dxa"/>
              <w:right w:w="57" w:type="dxa"/>
            </w:tcMar>
            <w:vAlign w:val="center"/>
          </w:tcPr>
          <w:p w14:paraId="066C6AA9">
            <w:pPr>
              <w:pStyle w:val="302"/>
              <w:spacing w:before="0" w:after="0"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交流输入</w:t>
            </w:r>
            <w:r>
              <w:rPr>
                <w:rFonts w:hint="eastAsia" w:ascii="宋体" w:hAnsi="宋体" w:eastAsia="宋体" w:cs="宋体"/>
                <w:sz w:val="24"/>
                <w:szCs w:val="24"/>
                <w:highlight w:val="none"/>
              </w:rPr>
              <w:t>电压</w:t>
            </w:r>
          </w:p>
        </w:tc>
        <w:tc>
          <w:tcPr>
            <w:tcW w:w="547" w:type="pct"/>
            <w:tcMar>
              <w:left w:w="57" w:type="dxa"/>
              <w:right w:w="57" w:type="dxa"/>
            </w:tcMar>
            <w:vAlign w:val="center"/>
          </w:tcPr>
          <w:p w14:paraId="4B52EBF0">
            <w:pPr>
              <w:pStyle w:val="302"/>
              <w:spacing w:before="0" w:after="0"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V</w:t>
            </w:r>
          </w:p>
        </w:tc>
        <w:tc>
          <w:tcPr>
            <w:tcW w:w="1991" w:type="pct"/>
            <w:tcMar>
              <w:left w:w="57" w:type="dxa"/>
              <w:right w:w="57" w:type="dxa"/>
            </w:tcMar>
            <w:vAlign w:val="center"/>
          </w:tcPr>
          <w:p w14:paraId="71F32C82">
            <w:pPr>
              <w:pStyle w:val="302"/>
              <w:spacing w:before="0" w:after="0"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220V±2</w:t>
            </w:r>
            <w:r>
              <w:rPr>
                <w:rFonts w:hint="eastAsia" w:ascii="宋体" w:hAnsi="宋体" w:eastAsia="宋体" w:cs="宋体"/>
                <w:sz w:val="24"/>
                <w:szCs w:val="24"/>
                <w:highlight w:val="none"/>
              </w:rPr>
              <w:t>0</w:t>
            </w:r>
            <w:r>
              <w:rPr>
                <w:rFonts w:hint="eastAsia" w:ascii="宋体" w:hAnsi="宋体" w:eastAsia="宋体" w:cs="宋体"/>
                <w:sz w:val="24"/>
                <w:szCs w:val="24"/>
                <w:highlight w:val="none"/>
              </w:rPr>
              <w:t>％</w:t>
            </w:r>
          </w:p>
        </w:tc>
      </w:tr>
      <w:tr w14:paraId="33BE98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824" w:type="pct"/>
          </w:tcPr>
          <w:p w14:paraId="264A4CAE">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2</w:t>
            </w:r>
          </w:p>
        </w:tc>
        <w:tc>
          <w:tcPr>
            <w:tcW w:w="313" w:type="pct"/>
            <w:vMerge w:val="continue"/>
            <w:tcMar>
              <w:left w:w="57" w:type="dxa"/>
              <w:right w:w="57" w:type="dxa"/>
            </w:tcMar>
            <w:vAlign w:val="center"/>
          </w:tcPr>
          <w:p w14:paraId="37B13597">
            <w:pPr>
              <w:pStyle w:val="302"/>
              <w:spacing w:before="0" w:after="0" w:line="360" w:lineRule="auto"/>
              <w:jc w:val="center"/>
              <w:rPr>
                <w:rFonts w:hint="eastAsia" w:ascii="宋体" w:hAnsi="宋体" w:eastAsia="宋体" w:cs="宋体"/>
                <w:sz w:val="24"/>
                <w:szCs w:val="24"/>
              </w:rPr>
            </w:pPr>
          </w:p>
        </w:tc>
        <w:tc>
          <w:tcPr>
            <w:tcW w:w="1322" w:type="pct"/>
            <w:tcMar>
              <w:left w:w="57" w:type="dxa"/>
              <w:right w:w="57" w:type="dxa"/>
            </w:tcMar>
            <w:vAlign w:val="center"/>
          </w:tcPr>
          <w:p w14:paraId="4DCB0EB3">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交流电源频率</w:t>
            </w:r>
          </w:p>
        </w:tc>
        <w:tc>
          <w:tcPr>
            <w:tcW w:w="547" w:type="pct"/>
            <w:tcMar>
              <w:left w:w="57" w:type="dxa"/>
              <w:right w:w="57" w:type="dxa"/>
            </w:tcMar>
          </w:tcPr>
          <w:p w14:paraId="0B67457C">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H</w:t>
            </w:r>
            <w:r>
              <w:rPr>
                <w:rFonts w:hint="eastAsia" w:ascii="宋体" w:hAnsi="宋体" w:eastAsia="宋体" w:cs="宋体"/>
                <w:sz w:val="24"/>
                <w:szCs w:val="24"/>
              </w:rPr>
              <w:t>z</w:t>
            </w:r>
          </w:p>
        </w:tc>
        <w:tc>
          <w:tcPr>
            <w:tcW w:w="1991" w:type="pct"/>
            <w:tcMar>
              <w:left w:w="57" w:type="dxa"/>
              <w:right w:w="57" w:type="dxa"/>
            </w:tcMar>
          </w:tcPr>
          <w:p w14:paraId="52984A80">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kern w:val="0"/>
                <w:sz w:val="24"/>
                <w:szCs w:val="24"/>
                <w:lang w:val="zh-CN"/>
              </w:rPr>
              <w:t>50±1</w:t>
            </w:r>
          </w:p>
        </w:tc>
      </w:tr>
      <w:tr w14:paraId="4629BB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824" w:type="pct"/>
          </w:tcPr>
          <w:p w14:paraId="2523832A">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3</w:t>
            </w:r>
          </w:p>
        </w:tc>
        <w:tc>
          <w:tcPr>
            <w:tcW w:w="313" w:type="pct"/>
            <w:vMerge w:val="continue"/>
            <w:tcMar>
              <w:left w:w="57" w:type="dxa"/>
              <w:right w:w="57" w:type="dxa"/>
            </w:tcMar>
            <w:vAlign w:val="center"/>
          </w:tcPr>
          <w:p w14:paraId="3EB01B17">
            <w:pPr>
              <w:pStyle w:val="302"/>
              <w:spacing w:before="0" w:after="0" w:line="360" w:lineRule="auto"/>
              <w:jc w:val="center"/>
              <w:rPr>
                <w:rFonts w:hint="eastAsia" w:ascii="宋体" w:hAnsi="宋体" w:eastAsia="宋体" w:cs="宋体"/>
                <w:sz w:val="24"/>
                <w:szCs w:val="24"/>
              </w:rPr>
            </w:pPr>
          </w:p>
        </w:tc>
        <w:tc>
          <w:tcPr>
            <w:tcW w:w="1322" w:type="pct"/>
            <w:tcMar>
              <w:left w:w="57" w:type="dxa"/>
              <w:right w:w="57" w:type="dxa"/>
            </w:tcMar>
            <w:vAlign w:val="center"/>
          </w:tcPr>
          <w:p w14:paraId="02307E84">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输出功率</w:t>
            </w:r>
          </w:p>
        </w:tc>
        <w:tc>
          <w:tcPr>
            <w:tcW w:w="547" w:type="pct"/>
            <w:tcMar>
              <w:left w:w="57" w:type="dxa"/>
              <w:right w:w="57" w:type="dxa"/>
            </w:tcMar>
          </w:tcPr>
          <w:p w14:paraId="3AC160D5">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KW</w:t>
            </w:r>
          </w:p>
        </w:tc>
        <w:tc>
          <w:tcPr>
            <w:tcW w:w="1991" w:type="pct"/>
            <w:tcMar>
              <w:left w:w="57" w:type="dxa"/>
              <w:right w:w="57" w:type="dxa"/>
            </w:tcMar>
          </w:tcPr>
          <w:p w14:paraId="51E9F24C">
            <w:pPr>
              <w:pStyle w:val="302"/>
              <w:spacing w:before="0" w:after="0" w:line="360" w:lineRule="auto"/>
              <w:jc w:val="center"/>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7KW</w:t>
            </w:r>
          </w:p>
        </w:tc>
      </w:tr>
      <w:tr w14:paraId="374E581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824" w:type="pct"/>
          </w:tcPr>
          <w:p w14:paraId="61074DF9">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4</w:t>
            </w:r>
          </w:p>
        </w:tc>
        <w:tc>
          <w:tcPr>
            <w:tcW w:w="313" w:type="pct"/>
            <w:vMerge w:val="continue"/>
            <w:tcMar>
              <w:left w:w="57" w:type="dxa"/>
              <w:right w:w="57" w:type="dxa"/>
            </w:tcMar>
            <w:vAlign w:val="center"/>
          </w:tcPr>
          <w:p w14:paraId="4FA8227E">
            <w:pPr>
              <w:pStyle w:val="302"/>
              <w:spacing w:before="0" w:after="0" w:line="360" w:lineRule="auto"/>
              <w:jc w:val="center"/>
              <w:rPr>
                <w:rFonts w:hint="eastAsia" w:ascii="宋体" w:hAnsi="宋体" w:eastAsia="宋体" w:cs="宋体"/>
                <w:sz w:val="24"/>
                <w:szCs w:val="24"/>
              </w:rPr>
            </w:pPr>
          </w:p>
        </w:tc>
        <w:tc>
          <w:tcPr>
            <w:tcW w:w="1322" w:type="pct"/>
            <w:tcMar>
              <w:left w:w="57" w:type="dxa"/>
              <w:right w:w="57" w:type="dxa"/>
            </w:tcMar>
            <w:vAlign w:val="center"/>
          </w:tcPr>
          <w:p w14:paraId="6A7E8D8C">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输出额定电流</w:t>
            </w:r>
          </w:p>
        </w:tc>
        <w:tc>
          <w:tcPr>
            <w:tcW w:w="547" w:type="pct"/>
            <w:tcMar>
              <w:left w:w="57" w:type="dxa"/>
              <w:right w:w="57" w:type="dxa"/>
            </w:tcMar>
          </w:tcPr>
          <w:p w14:paraId="099FB1DC">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A</w:t>
            </w:r>
          </w:p>
        </w:tc>
        <w:tc>
          <w:tcPr>
            <w:tcW w:w="1991" w:type="pct"/>
            <w:tcMar>
              <w:left w:w="57" w:type="dxa"/>
              <w:right w:w="57" w:type="dxa"/>
            </w:tcMar>
          </w:tcPr>
          <w:p w14:paraId="06CDDCE2">
            <w:pPr>
              <w:pStyle w:val="302"/>
              <w:spacing w:before="0" w:after="0" w:line="360" w:lineRule="auto"/>
              <w:jc w:val="center"/>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32A</w:t>
            </w:r>
          </w:p>
        </w:tc>
      </w:tr>
      <w:tr w14:paraId="51D62F2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824" w:type="pct"/>
          </w:tcPr>
          <w:p w14:paraId="7A2C359E">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5</w:t>
            </w:r>
          </w:p>
        </w:tc>
        <w:tc>
          <w:tcPr>
            <w:tcW w:w="313" w:type="pct"/>
            <w:vMerge w:val="continue"/>
            <w:tcMar>
              <w:left w:w="57" w:type="dxa"/>
              <w:right w:w="57" w:type="dxa"/>
            </w:tcMar>
            <w:vAlign w:val="center"/>
          </w:tcPr>
          <w:p w14:paraId="5887FD59">
            <w:pPr>
              <w:pStyle w:val="302"/>
              <w:spacing w:before="0" w:after="0" w:line="360" w:lineRule="auto"/>
              <w:jc w:val="center"/>
              <w:rPr>
                <w:rFonts w:hint="eastAsia" w:ascii="宋体" w:hAnsi="宋体" w:eastAsia="宋体" w:cs="宋体"/>
                <w:sz w:val="24"/>
                <w:szCs w:val="24"/>
              </w:rPr>
            </w:pPr>
          </w:p>
        </w:tc>
        <w:tc>
          <w:tcPr>
            <w:tcW w:w="1322" w:type="pct"/>
            <w:tcMar>
              <w:left w:w="57" w:type="dxa"/>
              <w:right w:w="57" w:type="dxa"/>
            </w:tcMar>
            <w:vAlign w:val="center"/>
          </w:tcPr>
          <w:p w14:paraId="12B0C651">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漏电保护装置</w:t>
            </w:r>
          </w:p>
        </w:tc>
        <w:tc>
          <w:tcPr>
            <w:tcW w:w="547" w:type="pct"/>
            <w:tcMar>
              <w:left w:w="57" w:type="dxa"/>
              <w:right w:w="57" w:type="dxa"/>
            </w:tcMar>
          </w:tcPr>
          <w:p w14:paraId="1FD3F158">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mA</w:t>
            </w:r>
          </w:p>
        </w:tc>
        <w:tc>
          <w:tcPr>
            <w:tcW w:w="1991" w:type="pct"/>
            <w:tcMar>
              <w:left w:w="57" w:type="dxa"/>
              <w:right w:w="57" w:type="dxa"/>
            </w:tcMar>
          </w:tcPr>
          <w:p w14:paraId="123D4B31">
            <w:pPr>
              <w:pStyle w:val="302"/>
              <w:spacing w:before="0" w:after="0" w:line="360" w:lineRule="auto"/>
              <w:jc w:val="center"/>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≤30（A型）</w:t>
            </w:r>
          </w:p>
        </w:tc>
      </w:tr>
      <w:tr w14:paraId="6AEFBF0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824" w:type="pct"/>
          </w:tcPr>
          <w:p w14:paraId="54C777A2">
            <w:pPr>
              <w:pStyle w:val="302"/>
              <w:spacing w:before="0" w:after="0"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6</w:t>
            </w:r>
          </w:p>
        </w:tc>
        <w:tc>
          <w:tcPr>
            <w:tcW w:w="313" w:type="pct"/>
            <w:vMerge w:val="continue"/>
            <w:tcMar>
              <w:left w:w="57" w:type="dxa"/>
              <w:right w:w="57" w:type="dxa"/>
            </w:tcMar>
            <w:vAlign w:val="center"/>
          </w:tcPr>
          <w:p w14:paraId="7DCD98CC">
            <w:pPr>
              <w:pStyle w:val="302"/>
              <w:spacing w:before="0" w:after="0" w:line="360" w:lineRule="auto"/>
              <w:jc w:val="center"/>
              <w:rPr>
                <w:rFonts w:hint="eastAsia" w:ascii="宋体" w:hAnsi="宋体" w:eastAsia="宋体" w:cs="宋体"/>
                <w:sz w:val="24"/>
                <w:szCs w:val="24"/>
                <w:highlight w:val="none"/>
              </w:rPr>
            </w:pPr>
          </w:p>
        </w:tc>
        <w:tc>
          <w:tcPr>
            <w:tcW w:w="1322" w:type="pct"/>
            <w:tcMar>
              <w:left w:w="57" w:type="dxa"/>
              <w:right w:w="57" w:type="dxa"/>
            </w:tcMar>
            <w:vAlign w:val="center"/>
          </w:tcPr>
          <w:p w14:paraId="0F3F0330">
            <w:pPr>
              <w:pStyle w:val="302"/>
              <w:spacing w:before="0" w:after="0"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机械强度</w:t>
            </w:r>
          </w:p>
        </w:tc>
        <w:tc>
          <w:tcPr>
            <w:tcW w:w="547" w:type="pct"/>
            <w:tcMar>
              <w:left w:w="57" w:type="dxa"/>
              <w:right w:w="57" w:type="dxa"/>
            </w:tcMar>
            <w:vAlign w:val="center"/>
          </w:tcPr>
          <w:p w14:paraId="479A13FB">
            <w:pPr>
              <w:pStyle w:val="302"/>
              <w:spacing w:before="0" w:after="0" w:line="360" w:lineRule="auto"/>
              <w:jc w:val="center"/>
              <w:rPr>
                <w:rFonts w:hint="eastAsia" w:ascii="宋体" w:hAnsi="宋体" w:eastAsia="宋体" w:cs="宋体"/>
                <w:sz w:val="24"/>
                <w:szCs w:val="24"/>
                <w:highlight w:val="none"/>
              </w:rPr>
            </w:pPr>
          </w:p>
        </w:tc>
        <w:tc>
          <w:tcPr>
            <w:tcW w:w="1991" w:type="pct"/>
            <w:tcMar>
              <w:left w:w="57" w:type="dxa"/>
              <w:right w:w="57" w:type="dxa"/>
            </w:tcMar>
            <w:vAlign w:val="center"/>
          </w:tcPr>
          <w:p w14:paraId="1C936A3A">
            <w:pPr>
              <w:pStyle w:val="302"/>
              <w:spacing w:before="0" w:after="0"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I</w:t>
            </w:r>
            <w:r>
              <w:rPr>
                <w:rFonts w:hint="eastAsia" w:ascii="宋体" w:hAnsi="宋体" w:eastAsia="宋体" w:cs="宋体"/>
                <w:sz w:val="24"/>
                <w:szCs w:val="24"/>
                <w:highlight w:val="none"/>
              </w:rPr>
              <w:t>K08</w:t>
            </w:r>
          </w:p>
        </w:tc>
      </w:tr>
      <w:tr w14:paraId="21EAD6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824" w:type="pct"/>
          </w:tcPr>
          <w:p w14:paraId="11B8ADF6">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7</w:t>
            </w:r>
          </w:p>
        </w:tc>
        <w:tc>
          <w:tcPr>
            <w:tcW w:w="313" w:type="pct"/>
            <w:vMerge w:val="continue"/>
            <w:tcMar>
              <w:left w:w="57" w:type="dxa"/>
              <w:right w:w="57" w:type="dxa"/>
            </w:tcMar>
            <w:vAlign w:val="center"/>
          </w:tcPr>
          <w:p w14:paraId="49E55445">
            <w:pPr>
              <w:pStyle w:val="302"/>
              <w:spacing w:before="0" w:after="0" w:line="360" w:lineRule="auto"/>
              <w:jc w:val="center"/>
              <w:rPr>
                <w:rFonts w:hint="eastAsia" w:ascii="宋体" w:hAnsi="宋体" w:eastAsia="宋体" w:cs="宋体"/>
                <w:sz w:val="24"/>
                <w:szCs w:val="24"/>
              </w:rPr>
            </w:pPr>
          </w:p>
        </w:tc>
        <w:tc>
          <w:tcPr>
            <w:tcW w:w="1322" w:type="pct"/>
            <w:tcMar>
              <w:left w:w="57" w:type="dxa"/>
              <w:right w:w="57" w:type="dxa"/>
            </w:tcMar>
            <w:vAlign w:val="center"/>
          </w:tcPr>
          <w:p w14:paraId="279BF00D">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待机功耗</w:t>
            </w:r>
          </w:p>
        </w:tc>
        <w:tc>
          <w:tcPr>
            <w:tcW w:w="547" w:type="pct"/>
            <w:tcMar>
              <w:left w:w="57" w:type="dxa"/>
              <w:right w:w="57" w:type="dxa"/>
            </w:tcMar>
            <w:vAlign w:val="center"/>
          </w:tcPr>
          <w:p w14:paraId="3B849349">
            <w:pPr>
              <w:pStyle w:val="302"/>
              <w:spacing w:before="0" w:after="0" w:line="360" w:lineRule="auto"/>
              <w:jc w:val="center"/>
              <w:rPr>
                <w:rFonts w:hint="eastAsia" w:ascii="宋体" w:hAnsi="宋体" w:eastAsia="宋体" w:cs="宋体"/>
                <w:sz w:val="24"/>
                <w:szCs w:val="24"/>
              </w:rPr>
            </w:pPr>
          </w:p>
        </w:tc>
        <w:tc>
          <w:tcPr>
            <w:tcW w:w="1991" w:type="pct"/>
            <w:tcMar>
              <w:left w:w="57" w:type="dxa"/>
              <w:right w:w="57" w:type="dxa"/>
            </w:tcMar>
            <w:vAlign w:val="center"/>
          </w:tcPr>
          <w:p w14:paraId="4F677EB9">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rPr>
              <w:t>W</w:t>
            </w:r>
          </w:p>
        </w:tc>
      </w:tr>
      <w:tr w14:paraId="2FFDB8C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824" w:type="pct"/>
          </w:tcPr>
          <w:p w14:paraId="5E1770B2">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8</w:t>
            </w:r>
          </w:p>
        </w:tc>
        <w:tc>
          <w:tcPr>
            <w:tcW w:w="313" w:type="pct"/>
            <w:vMerge w:val="continue"/>
            <w:tcMar>
              <w:left w:w="57" w:type="dxa"/>
              <w:right w:w="57" w:type="dxa"/>
            </w:tcMar>
            <w:vAlign w:val="center"/>
          </w:tcPr>
          <w:p w14:paraId="37516FC2">
            <w:pPr>
              <w:pStyle w:val="302"/>
              <w:spacing w:before="0" w:after="0" w:line="360" w:lineRule="auto"/>
              <w:jc w:val="center"/>
              <w:rPr>
                <w:rFonts w:hint="eastAsia" w:ascii="宋体" w:hAnsi="宋体" w:eastAsia="宋体" w:cs="宋体"/>
                <w:sz w:val="24"/>
                <w:szCs w:val="24"/>
              </w:rPr>
            </w:pPr>
          </w:p>
        </w:tc>
        <w:tc>
          <w:tcPr>
            <w:tcW w:w="1322" w:type="pct"/>
            <w:tcMar>
              <w:left w:w="57" w:type="dxa"/>
              <w:right w:w="57" w:type="dxa"/>
            </w:tcMar>
            <w:vAlign w:val="center"/>
          </w:tcPr>
          <w:p w14:paraId="5663F993">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静电放电抗扰度</w:t>
            </w:r>
          </w:p>
        </w:tc>
        <w:tc>
          <w:tcPr>
            <w:tcW w:w="547" w:type="pct"/>
            <w:tcMar>
              <w:left w:w="57" w:type="dxa"/>
              <w:right w:w="57" w:type="dxa"/>
            </w:tcMar>
            <w:vAlign w:val="center"/>
          </w:tcPr>
          <w:p w14:paraId="59668452">
            <w:pPr>
              <w:pStyle w:val="302"/>
              <w:spacing w:before="0" w:after="0" w:line="360" w:lineRule="auto"/>
              <w:jc w:val="center"/>
              <w:rPr>
                <w:rFonts w:hint="eastAsia" w:ascii="宋体" w:hAnsi="宋体" w:eastAsia="宋体" w:cs="宋体"/>
                <w:sz w:val="24"/>
                <w:szCs w:val="24"/>
              </w:rPr>
            </w:pPr>
          </w:p>
        </w:tc>
        <w:tc>
          <w:tcPr>
            <w:tcW w:w="1991" w:type="pct"/>
            <w:tcMar>
              <w:left w:w="57" w:type="dxa"/>
              <w:right w:w="57" w:type="dxa"/>
            </w:tcMar>
            <w:vAlign w:val="center"/>
          </w:tcPr>
          <w:p w14:paraId="26DAA7B7">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3级</w:t>
            </w:r>
          </w:p>
        </w:tc>
      </w:tr>
      <w:tr w14:paraId="36D7A0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824" w:type="pct"/>
          </w:tcPr>
          <w:p w14:paraId="4E52C42A">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9</w:t>
            </w:r>
          </w:p>
        </w:tc>
        <w:tc>
          <w:tcPr>
            <w:tcW w:w="313" w:type="pct"/>
            <w:vMerge w:val="continue"/>
            <w:tcMar>
              <w:left w:w="57" w:type="dxa"/>
              <w:right w:w="57" w:type="dxa"/>
            </w:tcMar>
            <w:vAlign w:val="center"/>
          </w:tcPr>
          <w:p w14:paraId="54D193A7">
            <w:pPr>
              <w:pStyle w:val="302"/>
              <w:spacing w:before="0" w:after="0" w:line="360" w:lineRule="auto"/>
              <w:jc w:val="center"/>
              <w:rPr>
                <w:rFonts w:hint="eastAsia" w:ascii="宋体" w:hAnsi="宋体" w:eastAsia="宋体" w:cs="宋体"/>
                <w:sz w:val="24"/>
                <w:szCs w:val="24"/>
              </w:rPr>
            </w:pPr>
          </w:p>
        </w:tc>
        <w:tc>
          <w:tcPr>
            <w:tcW w:w="1322" w:type="pct"/>
            <w:tcMar>
              <w:left w:w="57" w:type="dxa"/>
              <w:right w:w="57" w:type="dxa"/>
            </w:tcMar>
            <w:vAlign w:val="center"/>
          </w:tcPr>
          <w:p w14:paraId="020AEDF1">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射频电磁场辐射抗扰度</w:t>
            </w:r>
          </w:p>
        </w:tc>
        <w:tc>
          <w:tcPr>
            <w:tcW w:w="547" w:type="pct"/>
            <w:tcMar>
              <w:left w:w="57" w:type="dxa"/>
              <w:right w:w="57" w:type="dxa"/>
            </w:tcMar>
            <w:vAlign w:val="center"/>
          </w:tcPr>
          <w:p w14:paraId="6C74AB1B">
            <w:pPr>
              <w:pStyle w:val="302"/>
              <w:spacing w:before="0" w:after="0" w:line="360" w:lineRule="auto"/>
              <w:jc w:val="center"/>
              <w:rPr>
                <w:rFonts w:hint="eastAsia" w:ascii="宋体" w:hAnsi="宋体" w:eastAsia="宋体" w:cs="宋体"/>
                <w:sz w:val="24"/>
                <w:szCs w:val="24"/>
              </w:rPr>
            </w:pPr>
          </w:p>
        </w:tc>
        <w:tc>
          <w:tcPr>
            <w:tcW w:w="1991" w:type="pct"/>
            <w:tcMar>
              <w:left w:w="57" w:type="dxa"/>
              <w:right w:w="57" w:type="dxa"/>
            </w:tcMar>
            <w:vAlign w:val="center"/>
          </w:tcPr>
          <w:p w14:paraId="12C63808">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3级</w:t>
            </w:r>
          </w:p>
        </w:tc>
      </w:tr>
      <w:tr w14:paraId="483E0E9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824" w:type="pct"/>
          </w:tcPr>
          <w:p w14:paraId="55DB0A7C">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10</w:t>
            </w:r>
          </w:p>
        </w:tc>
        <w:tc>
          <w:tcPr>
            <w:tcW w:w="313" w:type="pct"/>
            <w:vMerge w:val="continue"/>
            <w:tcMar>
              <w:left w:w="57" w:type="dxa"/>
              <w:right w:w="57" w:type="dxa"/>
            </w:tcMar>
            <w:vAlign w:val="center"/>
          </w:tcPr>
          <w:p w14:paraId="2C633D66">
            <w:pPr>
              <w:pStyle w:val="302"/>
              <w:spacing w:before="0" w:after="0" w:line="360" w:lineRule="auto"/>
              <w:jc w:val="center"/>
              <w:rPr>
                <w:rFonts w:hint="eastAsia" w:ascii="宋体" w:hAnsi="宋体" w:eastAsia="宋体" w:cs="宋体"/>
                <w:sz w:val="24"/>
                <w:szCs w:val="24"/>
              </w:rPr>
            </w:pPr>
          </w:p>
        </w:tc>
        <w:tc>
          <w:tcPr>
            <w:tcW w:w="1322" w:type="pct"/>
            <w:tcMar>
              <w:left w:w="57" w:type="dxa"/>
              <w:right w:w="57" w:type="dxa"/>
            </w:tcMar>
            <w:vAlign w:val="center"/>
          </w:tcPr>
          <w:p w14:paraId="402F9A2C">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电快速瞬变脉冲群抗扰度</w:t>
            </w:r>
          </w:p>
        </w:tc>
        <w:tc>
          <w:tcPr>
            <w:tcW w:w="547" w:type="pct"/>
            <w:tcMar>
              <w:left w:w="57" w:type="dxa"/>
              <w:right w:w="57" w:type="dxa"/>
            </w:tcMar>
            <w:vAlign w:val="center"/>
          </w:tcPr>
          <w:p w14:paraId="12905352">
            <w:pPr>
              <w:pStyle w:val="302"/>
              <w:spacing w:before="0" w:after="0" w:line="360" w:lineRule="auto"/>
              <w:jc w:val="center"/>
              <w:rPr>
                <w:rFonts w:hint="eastAsia" w:ascii="宋体" w:hAnsi="宋体" w:eastAsia="宋体" w:cs="宋体"/>
                <w:sz w:val="24"/>
                <w:szCs w:val="24"/>
              </w:rPr>
            </w:pPr>
          </w:p>
        </w:tc>
        <w:tc>
          <w:tcPr>
            <w:tcW w:w="1991" w:type="pct"/>
            <w:tcMar>
              <w:left w:w="57" w:type="dxa"/>
              <w:right w:w="57" w:type="dxa"/>
            </w:tcMar>
            <w:vAlign w:val="center"/>
          </w:tcPr>
          <w:p w14:paraId="7DDF4EA6">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3级</w:t>
            </w:r>
          </w:p>
        </w:tc>
      </w:tr>
      <w:tr w14:paraId="4BCD705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cantSplit/>
          <w:trHeight w:val="330" w:hRule="atLeast"/>
          <w:jc w:val="center"/>
        </w:trPr>
        <w:tc>
          <w:tcPr>
            <w:tcW w:w="824" w:type="pct"/>
          </w:tcPr>
          <w:p w14:paraId="69412396">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rPr>
              <w:t>1</w:t>
            </w:r>
          </w:p>
        </w:tc>
        <w:tc>
          <w:tcPr>
            <w:tcW w:w="313" w:type="pct"/>
            <w:vMerge w:val="continue"/>
            <w:tcMar>
              <w:left w:w="57" w:type="dxa"/>
              <w:right w:w="57" w:type="dxa"/>
            </w:tcMar>
            <w:vAlign w:val="center"/>
          </w:tcPr>
          <w:p w14:paraId="72EB1A08">
            <w:pPr>
              <w:pStyle w:val="302"/>
              <w:spacing w:before="0" w:after="0" w:line="360" w:lineRule="auto"/>
              <w:jc w:val="center"/>
              <w:rPr>
                <w:rFonts w:hint="eastAsia" w:ascii="宋体" w:hAnsi="宋体" w:eastAsia="宋体" w:cs="宋体"/>
                <w:sz w:val="24"/>
                <w:szCs w:val="24"/>
              </w:rPr>
            </w:pPr>
          </w:p>
        </w:tc>
        <w:tc>
          <w:tcPr>
            <w:tcW w:w="1322" w:type="pct"/>
            <w:tcMar>
              <w:left w:w="57" w:type="dxa"/>
              <w:right w:w="57" w:type="dxa"/>
            </w:tcMar>
            <w:vAlign w:val="center"/>
          </w:tcPr>
          <w:p w14:paraId="7E6E7C48">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浪涌（冲击）抗扰度</w:t>
            </w:r>
          </w:p>
        </w:tc>
        <w:tc>
          <w:tcPr>
            <w:tcW w:w="547" w:type="pct"/>
            <w:tcMar>
              <w:left w:w="57" w:type="dxa"/>
              <w:right w:w="57" w:type="dxa"/>
            </w:tcMar>
            <w:vAlign w:val="center"/>
          </w:tcPr>
          <w:p w14:paraId="49383AC0">
            <w:pPr>
              <w:pStyle w:val="302"/>
              <w:spacing w:before="0" w:after="0" w:line="360" w:lineRule="auto"/>
              <w:jc w:val="center"/>
              <w:rPr>
                <w:rFonts w:hint="eastAsia" w:ascii="宋体" w:hAnsi="宋体" w:eastAsia="宋体" w:cs="宋体"/>
                <w:sz w:val="24"/>
                <w:szCs w:val="24"/>
              </w:rPr>
            </w:pPr>
          </w:p>
        </w:tc>
        <w:tc>
          <w:tcPr>
            <w:tcW w:w="1991" w:type="pct"/>
            <w:tcMar>
              <w:left w:w="57" w:type="dxa"/>
              <w:right w:w="57" w:type="dxa"/>
            </w:tcMar>
            <w:vAlign w:val="center"/>
          </w:tcPr>
          <w:p w14:paraId="7E0BD0E2">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3级</w:t>
            </w:r>
          </w:p>
        </w:tc>
      </w:tr>
      <w:tr w14:paraId="3DAAEF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824" w:type="pct"/>
          </w:tcPr>
          <w:p w14:paraId="337708AC">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rPr>
              <w:t>2</w:t>
            </w:r>
          </w:p>
        </w:tc>
        <w:tc>
          <w:tcPr>
            <w:tcW w:w="313" w:type="pct"/>
            <w:vMerge w:val="continue"/>
            <w:tcMar>
              <w:left w:w="57" w:type="dxa"/>
              <w:right w:w="57" w:type="dxa"/>
            </w:tcMar>
            <w:vAlign w:val="center"/>
          </w:tcPr>
          <w:p w14:paraId="3FFF45AF">
            <w:pPr>
              <w:pStyle w:val="302"/>
              <w:spacing w:before="0" w:after="0" w:line="360" w:lineRule="auto"/>
              <w:jc w:val="center"/>
              <w:rPr>
                <w:rFonts w:hint="eastAsia" w:ascii="宋体" w:hAnsi="宋体" w:eastAsia="宋体" w:cs="宋体"/>
                <w:sz w:val="24"/>
                <w:szCs w:val="24"/>
              </w:rPr>
            </w:pPr>
          </w:p>
        </w:tc>
        <w:tc>
          <w:tcPr>
            <w:tcW w:w="1322" w:type="pct"/>
            <w:tcMar>
              <w:left w:w="57" w:type="dxa"/>
              <w:right w:w="57" w:type="dxa"/>
            </w:tcMar>
            <w:vAlign w:val="center"/>
          </w:tcPr>
          <w:p w14:paraId="31413FD0">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电压暂降、短时中断抗扰度试验</w:t>
            </w:r>
          </w:p>
        </w:tc>
        <w:tc>
          <w:tcPr>
            <w:tcW w:w="547" w:type="pct"/>
            <w:tcMar>
              <w:left w:w="57" w:type="dxa"/>
              <w:right w:w="57" w:type="dxa"/>
            </w:tcMar>
            <w:vAlign w:val="center"/>
          </w:tcPr>
          <w:p w14:paraId="10C7A0C8">
            <w:pPr>
              <w:pStyle w:val="302"/>
              <w:spacing w:before="0" w:after="0" w:line="360" w:lineRule="auto"/>
              <w:jc w:val="center"/>
              <w:rPr>
                <w:rFonts w:hint="eastAsia" w:ascii="宋体" w:hAnsi="宋体" w:eastAsia="宋体" w:cs="宋体"/>
                <w:sz w:val="24"/>
                <w:szCs w:val="24"/>
              </w:rPr>
            </w:pPr>
          </w:p>
        </w:tc>
        <w:tc>
          <w:tcPr>
            <w:tcW w:w="1991" w:type="pct"/>
            <w:tcMar>
              <w:left w:w="57" w:type="dxa"/>
              <w:right w:w="57" w:type="dxa"/>
            </w:tcMar>
            <w:vAlign w:val="center"/>
          </w:tcPr>
          <w:p w14:paraId="3C26275C">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GB/T 17626.11</w:t>
            </w:r>
          </w:p>
        </w:tc>
      </w:tr>
      <w:tr w14:paraId="0C92014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824" w:type="pct"/>
          </w:tcPr>
          <w:p w14:paraId="2F08E1D9">
            <w:pPr>
              <w:pStyle w:val="302"/>
              <w:spacing w:before="0" w:after="0"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rPr>
              <w:t>3</w:t>
            </w:r>
          </w:p>
        </w:tc>
        <w:tc>
          <w:tcPr>
            <w:tcW w:w="313" w:type="pct"/>
            <w:vMerge w:val="continue"/>
            <w:tcMar>
              <w:left w:w="57" w:type="dxa"/>
              <w:right w:w="57" w:type="dxa"/>
            </w:tcMar>
            <w:vAlign w:val="center"/>
          </w:tcPr>
          <w:p w14:paraId="36DD66CF">
            <w:pPr>
              <w:pStyle w:val="302"/>
              <w:spacing w:before="0" w:after="0" w:line="360" w:lineRule="auto"/>
              <w:jc w:val="center"/>
              <w:rPr>
                <w:rFonts w:hint="eastAsia" w:ascii="宋体" w:hAnsi="宋体" w:eastAsia="宋体" w:cs="宋体"/>
                <w:sz w:val="24"/>
                <w:szCs w:val="24"/>
                <w:highlight w:val="none"/>
              </w:rPr>
            </w:pPr>
          </w:p>
        </w:tc>
        <w:tc>
          <w:tcPr>
            <w:tcW w:w="1322" w:type="pct"/>
            <w:tcMar>
              <w:left w:w="57" w:type="dxa"/>
              <w:right w:w="57" w:type="dxa"/>
            </w:tcMar>
            <w:vAlign w:val="center"/>
          </w:tcPr>
          <w:p w14:paraId="1B4C3DFF">
            <w:pPr>
              <w:pStyle w:val="302"/>
              <w:spacing w:before="0" w:after="0"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充电枪数量</w:t>
            </w:r>
          </w:p>
        </w:tc>
        <w:tc>
          <w:tcPr>
            <w:tcW w:w="547" w:type="pct"/>
            <w:tcMar>
              <w:left w:w="57" w:type="dxa"/>
              <w:right w:w="57" w:type="dxa"/>
            </w:tcMar>
            <w:vAlign w:val="center"/>
          </w:tcPr>
          <w:p w14:paraId="404FAA49">
            <w:pPr>
              <w:pStyle w:val="302"/>
              <w:spacing w:before="0" w:after="0" w:line="360" w:lineRule="auto"/>
              <w:jc w:val="center"/>
              <w:rPr>
                <w:rFonts w:hint="eastAsia" w:ascii="宋体" w:hAnsi="宋体" w:eastAsia="宋体" w:cs="宋体"/>
                <w:sz w:val="24"/>
                <w:szCs w:val="24"/>
                <w:highlight w:val="none"/>
              </w:rPr>
            </w:pPr>
          </w:p>
        </w:tc>
        <w:tc>
          <w:tcPr>
            <w:tcW w:w="1991" w:type="pct"/>
            <w:tcMar>
              <w:left w:w="57" w:type="dxa"/>
              <w:right w:w="57" w:type="dxa"/>
            </w:tcMar>
            <w:vAlign w:val="center"/>
          </w:tcPr>
          <w:p w14:paraId="144BAC6E">
            <w:pPr>
              <w:pStyle w:val="302"/>
              <w:spacing w:before="0" w:after="0"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单枪</w:t>
            </w:r>
            <w:r>
              <w:rPr>
                <w:rFonts w:hint="eastAsia" w:ascii="宋体" w:hAnsi="宋体" w:eastAsia="宋体" w:cs="宋体"/>
                <w:sz w:val="24"/>
                <w:szCs w:val="24"/>
                <w:highlight w:val="none"/>
              </w:rPr>
              <w:t xml:space="preserve"> (充电连接方式C) ≥</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米</w:t>
            </w:r>
          </w:p>
        </w:tc>
      </w:tr>
      <w:tr w14:paraId="76A8B2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824" w:type="pct"/>
          </w:tcPr>
          <w:p w14:paraId="58D76351">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rPr>
              <w:t>4</w:t>
            </w:r>
          </w:p>
        </w:tc>
        <w:tc>
          <w:tcPr>
            <w:tcW w:w="313" w:type="pct"/>
            <w:vMerge w:val="continue"/>
            <w:tcMar>
              <w:left w:w="57" w:type="dxa"/>
              <w:right w:w="57" w:type="dxa"/>
            </w:tcMar>
            <w:vAlign w:val="center"/>
          </w:tcPr>
          <w:p w14:paraId="3F5E2D8E">
            <w:pPr>
              <w:pStyle w:val="302"/>
              <w:spacing w:before="0" w:after="0" w:line="360" w:lineRule="auto"/>
              <w:jc w:val="center"/>
              <w:rPr>
                <w:rFonts w:hint="eastAsia" w:ascii="宋体" w:hAnsi="宋体" w:eastAsia="宋体" w:cs="宋体"/>
                <w:sz w:val="24"/>
                <w:szCs w:val="24"/>
              </w:rPr>
            </w:pPr>
          </w:p>
        </w:tc>
        <w:tc>
          <w:tcPr>
            <w:tcW w:w="1322" w:type="pct"/>
            <w:tcMar>
              <w:left w:w="57" w:type="dxa"/>
              <w:right w:w="57" w:type="dxa"/>
            </w:tcMar>
            <w:vAlign w:val="center"/>
          </w:tcPr>
          <w:p w14:paraId="689F76D0">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充电接口</w:t>
            </w:r>
          </w:p>
        </w:tc>
        <w:tc>
          <w:tcPr>
            <w:tcW w:w="547" w:type="pct"/>
            <w:tcMar>
              <w:left w:w="57" w:type="dxa"/>
              <w:right w:w="57" w:type="dxa"/>
            </w:tcMar>
            <w:vAlign w:val="center"/>
          </w:tcPr>
          <w:p w14:paraId="697CF953">
            <w:pPr>
              <w:pStyle w:val="302"/>
              <w:spacing w:before="0" w:after="0" w:line="360" w:lineRule="auto"/>
              <w:jc w:val="center"/>
              <w:rPr>
                <w:rFonts w:hint="eastAsia" w:ascii="宋体" w:hAnsi="宋体" w:eastAsia="宋体" w:cs="宋体"/>
                <w:sz w:val="24"/>
                <w:szCs w:val="24"/>
              </w:rPr>
            </w:pPr>
          </w:p>
        </w:tc>
        <w:tc>
          <w:tcPr>
            <w:tcW w:w="1991" w:type="pct"/>
            <w:tcMar>
              <w:left w:w="57" w:type="dxa"/>
              <w:right w:w="57" w:type="dxa"/>
            </w:tcMar>
            <w:vAlign w:val="center"/>
          </w:tcPr>
          <w:p w14:paraId="13D6BA75">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满足</w:t>
            </w:r>
            <w:r>
              <w:rPr>
                <w:rFonts w:hint="eastAsia" w:ascii="宋体" w:hAnsi="宋体" w:eastAsia="宋体" w:cs="宋体"/>
                <w:sz w:val="24"/>
                <w:szCs w:val="24"/>
              </w:rPr>
              <w:t>GB/T20234.1-2015；GB/T20234.2-2015</w:t>
            </w:r>
          </w:p>
        </w:tc>
      </w:tr>
      <w:tr w14:paraId="1B467C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824" w:type="pct"/>
          </w:tcPr>
          <w:p w14:paraId="7B919A94">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rPr>
              <w:t>5</w:t>
            </w:r>
          </w:p>
        </w:tc>
        <w:tc>
          <w:tcPr>
            <w:tcW w:w="313" w:type="pct"/>
            <w:vMerge w:val="continue"/>
            <w:tcMar>
              <w:left w:w="57" w:type="dxa"/>
              <w:right w:w="57" w:type="dxa"/>
            </w:tcMar>
            <w:vAlign w:val="center"/>
          </w:tcPr>
          <w:p w14:paraId="34CA67DE">
            <w:pPr>
              <w:pStyle w:val="302"/>
              <w:spacing w:before="0" w:after="0" w:line="360" w:lineRule="auto"/>
              <w:jc w:val="center"/>
              <w:rPr>
                <w:rFonts w:hint="eastAsia" w:ascii="宋体" w:hAnsi="宋体" w:eastAsia="宋体" w:cs="宋体"/>
                <w:sz w:val="24"/>
                <w:szCs w:val="24"/>
              </w:rPr>
            </w:pPr>
          </w:p>
        </w:tc>
        <w:tc>
          <w:tcPr>
            <w:tcW w:w="1322" w:type="pct"/>
            <w:tcMar>
              <w:left w:w="57" w:type="dxa"/>
              <w:right w:w="57" w:type="dxa"/>
            </w:tcMar>
            <w:vAlign w:val="center"/>
          </w:tcPr>
          <w:p w14:paraId="11F437A5">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计量等级</w:t>
            </w:r>
          </w:p>
        </w:tc>
        <w:tc>
          <w:tcPr>
            <w:tcW w:w="547" w:type="pct"/>
            <w:tcMar>
              <w:left w:w="57" w:type="dxa"/>
              <w:right w:w="57" w:type="dxa"/>
            </w:tcMar>
            <w:vAlign w:val="center"/>
          </w:tcPr>
          <w:p w14:paraId="68424523">
            <w:pPr>
              <w:pStyle w:val="302"/>
              <w:spacing w:before="0" w:after="0" w:line="360" w:lineRule="auto"/>
              <w:jc w:val="center"/>
              <w:rPr>
                <w:rFonts w:hint="eastAsia" w:ascii="宋体" w:hAnsi="宋体" w:eastAsia="宋体" w:cs="宋体"/>
                <w:sz w:val="24"/>
                <w:szCs w:val="24"/>
              </w:rPr>
            </w:pPr>
          </w:p>
        </w:tc>
        <w:tc>
          <w:tcPr>
            <w:tcW w:w="1991" w:type="pct"/>
            <w:tcMar>
              <w:left w:w="57" w:type="dxa"/>
              <w:right w:w="57" w:type="dxa"/>
            </w:tcMar>
            <w:vAlign w:val="center"/>
          </w:tcPr>
          <w:p w14:paraId="59674A0A">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rPr>
              <w:t>1.0级</w:t>
            </w:r>
          </w:p>
        </w:tc>
      </w:tr>
      <w:tr w14:paraId="5EE0762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824" w:type="pct"/>
          </w:tcPr>
          <w:p w14:paraId="3BF5148B">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rPr>
              <w:t>6</w:t>
            </w:r>
          </w:p>
        </w:tc>
        <w:tc>
          <w:tcPr>
            <w:tcW w:w="313" w:type="pct"/>
            <w:vMerge w:val="continue"/>
            <w:tcMar>
              <w:left w:w="57" w:type="dxa"/>
              <w:right w:w="57" w:type="dxa"/>
            </w:tcMar>
            <w:vAlign w:val="center"/>
          </w:tcPr>
          <w:p w14:paraId="0ED88FEC">
            <w:pPr>
              <w:pStyle w:val="302"/>
              <w:spacing w:before="0" w:after="0" w:line="360" w:lineRule="auto"/>
              <w:jc w:val="center"/>
              <w:rPr>
                <w:rFonts w:hint="eastAsia" w:ascii="宋体" w:hAnsi="宋体" w:eastAsia="宋体" w:cs="宋体"/>
                <w:sz w:val="24"/>
                <w:szCs w:val="24"/>
              </w:rPr>
            </w:pPr>
          </w:p>
        </w:tc>
        <w:tc>
          <w:tcPr>
            <w:tcW w:w="1322" w:type="pct"/>
            <w:tcMar>
              <w:left w:w="57" w:type="dxa"/>
              <w:right w:w="57" w:type="dxa"/>
            </w:tcMar>
            <w:vAlign w:val="center"/>
          </w:tcPr>
          <w:p w14:paraId="58E68B63">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支付方式</w:t>
            </w:r>
          </w:p>
        </w:tc>
        <w:tc>
          <w:tcPr>
            <w:tcW w:w="547" w:type="pct"/>
            <w:tcMar>
              <w:left w:w="57" w:type="dxa"/>
              <w:right w:w="57" w:type="dxa"/>
            </w:tcMar>
            <w:vAlign w:val="center"/>
          </w:tcPr>
          <w:p w14:paraId="13811FFC">
            <w:pPr>
              <w:pStyle w:val="302"/>
              <w:spacing w:before="0" w:after="0" w:line="360" w:lineRule="auto"/>
              <w:jc w:val="center"/>
              <w:rPr>
                <w:rFonts w:hint="eastAsia" w:ascii="宋体" w:hAnsi="宋体" w:eastAsia="宋体" w:cs="宋体"/>
                <w:sz w:val="24"/>
                <w:szCs w:val="24"/>
              </w:rPr>
            </w:pPr>
          </w:p>
        </w:tc>
        <w:tc>
          <w:tcPr>
            <w:tcW w:w="1991" w:type="pct"/>
            <w:tcMar>
              <w:left w:w="57" w:type="dxa"/>
              <w:right w:w="57" w:type="dxa"/>
            </w:tcMar>
            <w:vAlign w:val="center"/>
          </w:tcPr>
          <w:p w14:paraId="36D85BEB">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扫码充电、刷卡（M</w:t>
            </w:r>
            <w:r>
              <w:rPr>
                <w:rFonts w:hint="eastAsia" w:ascii="宋体" w:hAnsi="宋体" w:eastAsia="宋体" w:cs="宋体"/>
                <w:sz w:val="24"/>
                <w:szCs w:val="24"/>
              </w:rPr>
              <w:t>1</w:t>
            </w:r>
            <w:r>
              <w:rPr>
                <w:rFonts w:hint="eastAsia" w:ascii="宋体" w:hAnsi="宋体" w:eastAsia="宋体" w:cs="宋体"/>
                <w:sz w:val="24"/>
                <w:szCs w:val="24"/>
              </w:rPr>
              <w:t>）充电</w:t>
            </w:r>
          </w:p>
        </w:tc>
      </w:tr>
      <w:tr w14:paraId="13139FC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824" w:type="pct"/>
          </w:tcPr>
          <w:p w14:paraId="7881829B">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rPr>
              <w:t>7</w:t>
            </w:r>
          </w:p>
        </w:tc>
        <w:tc>
          <w:tcPr>
            <w:tcW w:w="313" w:type="pct"/>
            <w:vMerge w:val="continue"/>
            <w:tcMar>
              <w:left w:w="57" w:type="dxa"/>
              <w:right w:w="57" w:type="dxa"/>
            </w:tcMar>
            <w:vAlign w:val="center"/>
          </w:tcPr>
          <w:p w14:paraId="6B311BDD">
            <w:pPr>
              <w:pStyle w:val="302"/>
              <w:spacing w:before="0" w:after="0" w:line="360" w:lineRule="auto"/>
              <w:jc w:val="center"/>
              <w:rPr>
                <w:rFonts w:hint="eastAsia" w:ascii="宋体" w:hAnsi="宋体" w:eastAsia="宋体" w:cs="宋体"/>
                <w:sz w:val="24"/>
                <w:szCs w:val="24"/>
              </w:rPr>
            </w:pPr>
          </w:p>
        </w:tc>
        <w:tc>
          <w:tcPr>
            <w:tcW w:w="1322" w:type="pct"/>
            <w:tcMar>
              <w:left w:w="57" w:type="dxa"/>
              <w:right w:w="57" w:type="dxa"/>
            </w:tcMar>
            <w:vAlign w:val="center"/>
          </w:tcPr>
          <w:p w14:paraId="2CEE2C81">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充电方式</w:t>
            </w:r>
          </w:p>
        </w:tc>
        <w:tc>
          <w:tcPr>
            <w:tcW w:w="547" w:type="pct"/>
            <w:tcMar>
              <w:left w:w="57" w:type="dxa"/>
              <w:right w:w="57" w:type="dxa"/>
            </w:tcMar>
            <w:vAlign w:val="center"/>
          </w:tcPr>
          <w:p w14:paraId="41517CC2">
            <w:pPr>
              <w:pStyle w:val="302"/>
              <w:spacing w:before="0" w:after="0" w:line="360" w:lineRule="auto"/>
              <w:jc w:val="center"/>
              <w:rPr>
                <w:rFonts w:hint="eastAsia" w:ascii="宋体" w:hAnsi="宋体" w:eastAsia="宋体" w:cs="宋体"/>
                <w:sz w:val="24"/>
                <w:szCs w:val="24"/>
              </w:rPr>
            </w:pPr>
          </w:p>
        </w:tc>
        <w:tc>
          <w:tcPr>
            <w:tcW w:w="1991" w:type="pct"/>
            <w:tcMar>
              <w:left w:w="57" w:type="dxa"/>
              <w:right w:w="57" w:type="dxa"/>
            </w:tcMar>
            <w:vAlign w:val="center"/>
          </w:tcPr>
          <w:p w14:paraId="69847F4F">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自动充满、按金额、电量、时间充电</w:t>
            </w:r>
          </w:p>
        </w:tc>
      </w:tr>
      <w:tr w14:paraId="4B3E86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824" w:type="pct"/>
          </w:tcPr>
          <w:p w14:paraId="7263BC8F">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rPr>
              <w:t>8</w:t>
            </w:r>
          </w:p>
        </w:tc>
        <w:tc>
          <w:tcPr>
            <w:tcW w:w="313" w:type="pct"/>
            <w:vMerge w:val="continue"/>
            <w:tcMar>
              <w:left w:w="57" w:type="dxa"/>
              <w:right w:w="57" w:type="dxa"/>
            </w:tcMar>
            <w:vAlign w:val="center"/>
          </w:tcPr>
          <w:p w14:paraId="0A1FD1C6">
            <w:pPr>
              <w:pStyle w:val="302"/>
              <w:spacing w:before="0" w:after="0" w:line="360" w:lineRule="auto"/>
              <w:jc w:val="center"/>
              <w:rPr>
                <w:rFonts w:hint="eastAsia" w:ascii="宋体" w:hAnsi="宋体" w:eastAsia="宋体" w:cs="宋体"/>
                <w:sz w:val="24"/>
                <w:szCs w:val="24"/>
              </w:rPr>
            </w:pPr>
          </w:p>
        </w:tc>
        <w:tc>
          <w:tcPr>
            <w:tcW w:w="1322" w:type="pct"/>
            <w:tcMar>
              <w:left w:w="57" w:type="dxa"/>
              <w:right w:w="57" w:type="dxa"/>
            </w:tcMar>
            <w:vAlign w:val="center"/>
          </w:tcPr>
          <w:p w14:paraId="5F559855">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介电强度</w:t>
            </w:r>
          </w:p>
        </w:tc>
        <w:tc>
          <w:tcPr>
            <w:tcW w:w="547" w:type="pct"/>
            <w:tcMar>
              <w:left w:w="57" w:type="dxa"/>
              <w:right w:w="57" w:type="dxa"/>
            </w:tcMar>
            <w:vAlign w:val="center"/>
          </w:tcPr>
          <w:p w14:paraId="7BAD2806">
            <w:pPr>
              <w:pStyle w:val="302"/>
              <w:spacing w:before="0" w:after="0" w:line="360" w:lineRule="auto"/>
              <w:jc w:val="center"/>
              <w:rPr>
                <w:rFonts w:hint="eastAsia" w:ascii="宋体" w:hAnsi="宋体" w:eastAsia="宋体" w:cs="宋体"/>
                <w:sz w:val="24"/>
                <w:szCs w:val="24"/>
              </w:rPr>
            </w:pPr>
          </w:p>
        </w:tc>
        <w:tc>
          <w:tcPr>
            <w:tcW w:w="1991" w:type="pct"/>
            <w:tcMar>
              <w:left w:w="57" w:type="dxa"/>
              <w:right w:w="57" w:type="dxa"/>
            </w:tcMar>
            <w:vAlign w:val="center"/>
          </w:tcPr>
          <w:p w14:paraId="0DAEAE01">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rPr>
              <w:t>2000V</w:t>
            </w:r>
          </w:p>
        </w:tc>
      </w:tr>
      <w:tr w14:paraId="4831F6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824" w:type="pct"/>
          </w:tcPr>
          <w:p w14:paraId="292BDE63">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rPr>
              <w:t>9</w:t>
            </w:r>
          </w:p>
        </w:tc>
        <w:tc>
          <w:tcPr>
            <w:tcW w:w="313" w:type="pct"/>
            <w:vMerge w:val="continue"/>
            <w:tcMar>
              <w:left w:w="57" w:type="dxa"/>
              <w:right w:w="57" w:type="dxa"/>
            </w:tcMar>
            <w:vAlign w:val="center"/>
          </w:tcPr>
          <w:p w14:paraId="72531532">
            <w:pPr>
              <w:pStyle w:val="302"/>
              <w:spacing w:before="0" w:after="0" w:line="360" w:lineRule="auto"/>
              <w:jc w:val="center"/>
              <w:rPr>
                <w:rFonts w:hint="eastAsia" w:ascii="宋体" w:hAnsi="宋体" w:eastAsia="宋体" w:cs="宋体"/>
                <w:sz w:val="24"/>
                <w:szCs w:val="24"/>
              </w:rPr>
            </w:pPr>
          </w:p>
        </w:tc>
        <w:tc>
          <w:tcPr>
            <w:tcW w:w="1322" w:type="pct"/>
            <w:tcMar>
              <w:left w:w="57" w:type="dxa"/>
              <w:right w:w="57" w:type="dxa"/>
            </w:tcMar>
            <w:vAlign w:val="center"/>
          </w:tcPr>
          <w:p w14:paraId="4D49AC03">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漏电流</w:t>
            </w:r>
          </w:p>
        </w:tc>
        <w:tc>
          <w:tcPr>
            <w:tcW w:w="547" w:type="pct"/>
            <w:tcMar>
              <w:left w:w="57" w:type="dxa"/>
              <w:right w:w="57" w:type="dxa"/>
            </w:tcMar>
            <w:vAlign w:val="center"/>
          </w:tcPr>
          <w:p w14:paraId="470A918D">
            <w:pPr>
              <w:pStyle w:val="302"/>
              <w:spacing w:before="0" w:after="0" w:line="360" w:lineRule="auto"/>
              <w:jc w:val="center"/>
              <w:rPr>
                <w:rFonts w:hint="eastAsia" w:ascii="宋体" w:hAnsi="宋体" w:eastAsia="宋体" w:cs="宋体"/>
                <w:sz w:val="24"/>
                <w:szCs w:val="24"/>
              </w:rPr>
            </w:pPr>
          </w:p>
        </w:tc>
        <w:tc>
          <w:tcPr>
            <w:tcW w:w="1991" w:type="pct"/>
            <w:tcMar>
              <w:left w:w="57" w:type="dxa"/>
              <w:right w:w="57" w:type="dxa"/>
            </w:tcMar>
            <w:vAlign w:val="center"/>
          </w:tcPr>
          <w:p w14:paraId="3F626CA2">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≤3.5MA</w:t>
            </w:r>
          </w:p>
        </w:tc>
      </w:tr>
      <w:tr w14:paraId="7ED59DF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824" w:type="pct"/>
          </w:tcPr>
          <w:p w14:paraId="2DD4D030">
            <w:pPr>
              <w:pStyle w:val="302"/>
              <w:spacing w:before="0" w:after="0"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20</w:t>
            </w:r>
          </w:p>
        </w:tc>
        <w:tc>
          <w:tcPr>
            <w:tcW w:w="313" w:type="pct"/>
            <w:vMerge w:val="continue"/>
            <w:tcMar>
              <w:left w:w="57" w:type="dxa"/>
              <w:right w:w="57" w:type="dxa"/>
            </w:tcMar>
            <w:vAlign w:val="center"/>
          </w:tcPr>
          <w:p w14:paraId="3CF97F50">
            <w:pPr>
              <w:pStyle w:val="302"/>
              <w:spacing w:before="0" w:after="0" w:line="360" w:lineRule="auto"/>
              <w:jc w:val="center"/>
              <w:rPr>
                <w:rFonts w:hint="eastAsia" w:ascii="宋体" w:hAnsi="宋体" w:eastAsia="宋体" w:cs="宋体"/>
                <w:sz w:val="24"/>
                <w:szCs w:val="24"/>
                <w:highlight w:val="none"/>
              </w:rPr>
            </w:pPr>
          </w:p>
        </w:tc>
        <w:tc>
          <w:tcPr>
            <w:tcW w:w="1322" w:type="pct"/>
            <w:tcMar>
              <w:left w:w="57" w:type="dxa"/>
              <w:right w:w="57" w:type="dxa"/>
            </w:tcMar>
            <w:vAlign w:val="center"/>
          </w:tcPr>
          <w:p w14:paraId="3190ED11">
            <w:pPr>
              <w:pStyle w:val="302"/>
              <w:spacing w:before="0" w:after="0"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防护等级</w:t>
            </w:r>
          </w:p>
        </w:tc>
        <w:tc>
          <w:tcPr>
            <w:tcW w:w="547" w:type="pct"/>
            <w:tcMar>
              <w:left w:w="57" w:type="dxa"/>
              <w:right w:w="57" w:type="dxa"/>
            </w:tcMar>
            <w:vAlign w:val="center"/>
          </w:tcPr>
          <w:p w14:paraId="4F49FB28">
            <w:pPr>
              <w:pStyle w:val="302"/>
              <w:spacing w:before="0" w:after="0" w:line="360" w:lineRule="auto"/>
              <w:jc w:val="center"/>
              <w:rPr>
                <w:rFonts w:hint="eastAsia" w:ascii="宋体" w:hAnsi="宋体" w:eastAsia="宋体" w:cs="宋体"/>
                <w:sz w:val="24"/>
                <w:szCs w:val="24"/>
                <w:highlight w:val="none"/>
              </w:rPr>
            </w:pPr>
          </w:p>
        </w:tc>
        <w:tc>
          <w:tcPr>
            <w:tcW w:w="1991" w:type="pct"/>
            <w:tcMar>
              <w:left w:w="57" w:type="dxa"/>
              <w:right w:w="57" w:type="dxa"/>
            </w:tcMar>
            <w:vAlign w:val="center"/>
          </w:tcPr>
          <w:p w14:paraId="702D2E87">
            <w:pPr>
              <w:pStyle w:val="302"/>
              <w:spacing w:before="0" w:after="0" w:line="360" w:lineRule="auto"/>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壳体</w:t>
            </w:r>
            <w:r>
              <w:rPr>
                <w:rFonts w:hint="eastAsia" w:ascii="宋体" w:hAnsi="宋体" w:eastAsia="宋体" w:cs="宋体"/>
                <w:sz w:val="24"/>
                <w:szCs w:val="24"/>
                <w:highlight w:val="none"/>
              </w:rPr>
              <w:t>≥</w:t>
            </w:r>
            <w:r>
              <w:rPr>
                <w:rFonts w:hint="eastAsia" w:ascii="宋体" w:hAnsi="宋体" w:eastAsia="宋体" w:cs="宋体"/>
                <w:sz w:val="24"/>
                <w:szCs w:val="24"/>
                <w:highlight w:val="none"/>
              </w:rPr>
              <w:t>IP</w:t>
            </w:r>
            <w:r>
              <w:rPr>
                <w:rFonts w:hint="eastAsia" w:ascii="宋体" w:hAnsi="宋体" w:eastAsia="宋体" w:cs="宋体"/>
                <w:sz w:val="24"/>
                <w:szCs w:val="24"/>
                <w:highlight w:val="none"/>
              </w:rPr>
              <w:t>65;</w:t>
            </w:r>
            <w:r>
              <w:rPr>
                <w:rFonts w:hint="eastAsia" w:ascii="宋体" w:hAnsi="宋体" w:eastAsia="宋体" w:cs="宋体"/>
                <w:sz w:val="24"/>
                <w:szCs w:val="24"/>
                <w:highlight w:val="none"/>
              </w:rPr>
              <w:t xml:space="preserve">车辆插头与车辆插座 </w:t>
            </w:r>
            <w:r>
              <w:rPr>
                <w:rFonts w:hint="eastAsia" w:ascii="宋体" w:hAnsi="宋体" w:eastAsia="宋体" w:cs="宋体"/>
                <w:sz w:val="24"/>
                <w:szCs w:val="24"/>
                <w:highlight w:val="none"/>
              </w:rPr>
              <w:t>≥IP</w:t>
            </w:r>
            <w:r>
              <w:rPr>
                <w:rFonts w:hint="eastAsia" w:ascii="宋体" w:hAnsi="宋体" w:eastAsia="宋体" w:cs="宋体"/>
                <w:sz w:val="24"/>
                <w:szCs w:val="24"/>
                <w:highlight w:val="none"/>
                <w:lang w:val="en-US" w:eastAsia="zh-CN"/>
              </w:rPr>
              <w:t>66</w:t>
            </w:r>
          </w:p>
        </w:tc>
      </w:tr>
      <w:tr w14:paraId="3140BA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824" w:type="pct"/>
          </w:tcPr>
          <w:p w14:paraId="463B2AD4">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rPr>
              <w:t>1</w:t>
            </w:r>
          </w:p>
        </w:tc>
        <w:tc>
          <w:tcPr>
            <w:tcW w:w="313" w:type="pct"/>
            <w:vMerge w:val="continue"/>
            <w:tcMar>
              <w:left w:w="57" w:type="dxa"/>
              <w:right w:w="57" w:type="dxa"/>
            </w:tcMar>
            <w:vAlign w:val="center"/>
          </w:tcPr>
          <w:p w14:paraId="1F138419">
            <w:pPr>
              <w:pStyle w:val="302"/>
              <w:spacing w:before="0" w:after="0" w:line="360" w:lineRule="auto"/>
              <w:jc w:val="center"/>
              <w:rPr>
                <w:rFonts w:hint="eastAsia" w:ascii="宋体" w:hAnsi="宋体" w:eastAsia="宋体" w:cs="宋体"/>
                <w:sz w:val="24"/>
                <w:szCs w:val="24"/>
              </w:rPr>
            </w:pPr>
          </w:p>
        </w:tc>
        <w:tc>
          <w:tcPr>
            <w:tcW w:w="1322" w:type="pct"/>
            <w:tcMar>
              <w:left w:w="57" w:type="dxa"/>
              <w:right w:w="57" w:type="dxa"/>
            </w:tcMar>
            <w:vAlign w:val="center"/>
          </w:tcPr>
          <w:p w14:paraId="2B01DBE7">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通信功能</w:t>
            </w:r>
          </w:p>
        </w:tc>
        <w:tc>
          <w:tcPr>
            <w:tcW w:w="547" w:type="pct"/>
            <w:tcMar>
              <w:left w:w="57" w:type="dxa"/>
              <w:right w:w="57" w:type="dxa"/>
            </w:tcMar>
            <w:vAlign w:val="center"/>
          </w:tcPr>
          <w:p w14:paraId="33A839C3">
            <w:pPr>
              <w:pStyle w:val="302"/>
              <w:spacing w:before="0" w:after="0" w:line="360" w:lineRule="auto"/>
              <w:jc w:val="center"/>
              <w:rPr>
                <w:rFonts w:hint="eastAsia" w:ascii="宋体" w:hAnsi="宋体" w:eastAsia="宋体" w:cs="宋体"/>
                <w:sz w:val="24"/>
                <w:szCs w:val="24"/>
              </w:rPr>
            </w:pPr>
          </w:p>
        </w:tc>
        <w:tc>
          <w:tcPr>
            <w:tcW w:w="1991" w:type="pct"/>
            <w:tcMar>
              <w:left w:w="57" w:type="dxa"/>
              <w:right w:w="57" w:type="dxa"/>
            </w:tcMar>
            <w:vAlign w:val="center"/>
          </w:tcPr>
          <w:p w14:paraId="7A1F6272">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具备4G通讯，可通过4</w:t>
            </w:r>
            <w:r>
              <w:rPr>
                <w:rFonts w:hint="eastAsia" w:ascii="宋体" w:hAnsi="宋体" w:eastAsia="宋体" w:cs="宋体"/>
                <w:sz w:val="24"/>
                <w:szCs w:val="24"/>
              </w:rPr>
              <w:t>G/</w:t>
            </w:r>
            <w:r>
              <w:rPr>
                <w:rFonts w:hint="eastAsia" w:ascii="宋体" w:hAnsi="宋体" w:eastAsia="宋体" w:cs="宋体"/>
                <w:sz w:val="24"/>
                <w:szCs w:val="24"/>
              </w:rPr>
              <w:t>以太网组网</w:t>
            </w:r>
          </w:p>
        </w:tc>
      </w:tr>
      <w:tr w14:paraId="4C6422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824" w:type="pct"/>
          </w:tcPr>
          <w:p w14:paraId="4A7E9BD9">
            <w:pPr>
              <w:pStyle w:val="302"/>
              <w:spacing w:before="0" w:after="0" w:line="360" w:lineRule="auto"/>
              <w:jc w:val="cente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rPr>
              <w:t>2</w:t>
            </w:r>
          </w:p>
        </w:tc>
        <w:tc>
          <w:tcPr>
            <w:tcW w:w="313" w:type="pct"/>
            <w:tcMar>
              <w:left w:w="57" w:type="dxa"/>
              <w:right w:w="57" w:type="dxa"/>
            </w:tcMar>
            <w:vAlign w:val="center"/>
          </w:tcPr>
          <w:p w14:paraId="6430D324">
            <w:pPr>
              <w:pStyle w:val="302"/>
              <w:spacing w:before="0" w:after="0" w:line="360" w:lineRule="auto"/>
              <w:jc w:val="center"/>
              <w:rPr>
                <w:rFonts w:hint="eastAsia" w:ascii="宋体" w:hAnsi="宋体" w:eastAsia="宋体" w:cs="宋体"/>
                <w:sz w:val="24"/>
                <w:szCs w:val="24"/>
              </w:rPr>
            </w:pPr>
          </w:p>
        </w:tc>
        <w:tc>
          <w:tcPr>
            <w:tcW w:w="1322" w:type="pct"/>
            <w:tcMar>
              <w:left w:w="57" w:type="dxa"/>
              <w:right w:w="57" w:type="dxa"/>
            </w:tcMar>
            <w:vAlign w:val="center"/>
          </w:tcPr>
          <w:p w14:paraId="37B47333">
            <w:pPr>
              <w:pStyle w:val="307"/>
              <w:snapToGrid/>
              <w:spacing w:before="0" w:beforeLines="0" w:after="0" w:afterLines="0" w:line="360" w:lineRule="auto"/>
              <w:ind w:left="0" w:leftChars="0" w:right="0" w:rightChars="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计费系统</w:t>
            </w:r>
          </w:p>
        </w:tc>
        <w:tc>
          <w:tcPr>
            <w:tcW w:w="547" w:type="pct"/>
            <w:tcMar>
              <w:left w:w="57" w:type="dxa"/>
              <w:right w:w="57" w:type="dxa"/>
            </w:tcMar>
            <w:vAlign w:val="center"/>
          </w:tcPr>
          <w:p w14:paraId="440456E4">
            <w:pPr>
              <w:pStyle w:val="307"/>
              <w:snapToGrid/>
              <w:spacing w:before="0" w:beforeLines="0" w:after="0" w:afterLines="0" w:line="360" w:lineRule="auto"/>
              <w:ind w:left="0" w:leftChars="0" w:right="0" w:rightChars="0"/>
              <w:rPr>
                <w:rFonts w:hint="eastAsia" w:ascii="宋体" w:hAnsi="宋体" w:eastAsia="宋体" w:cs="宋体"/>
                <w:kern w:val="0"/>
                <w:sz w:val="24"/>
                <w:szCs w:val="24"/>
                <w:lang w:val="zh-CN"/>
              </w:rPr>
            </w:pPr>
          </w:p>
        </w:tc>
        <w:tc>
          <w:tcPr>
            <w:tcW w:w="1991" w:type="pct"/>
            <w:tcMar>
              <w:left w:w="57" w:type="dxa"/>
              <w:right w:w="57" w:type="dxa"/>
            </w:tcMar>
            <w:vAlign w:val="center"/>
          </w:tcPr>
          <w:p w14:paraId="1A434E93">
            <w:pPr>
              <w:pStyle w:val="307"/>
              <w:snapToGrid/>
              <w:spacing w:before="0" w:beforeLines="0" w:after="0" w:afterLines="0" w:line="360" w:lineRule="auto"/>
              <w:ind w:left="0" w:leftChars="0" w:right="0" w:rightChars="0"/>
              <w:rPr>
                <w:rFonts w:hint="eastAsia" w:ascii="宋体" w:hAnsi="宋体" w:eastAsia="宋体" w:cs="宋体"/>
                <w:kern w:val="0"/>
                <w:sz w:val="24"/>
                <w:szCs w:val="24"/>
                <w:lang w:val="pt-BR"/>
              </w:rPr>
            </w:pPr>
            <w:r>
              <w:rPr>
                <w:rFonts w:hint="eastAsia" w:ascii="宋体" w:hAnsi="宋体" w:eastAsia="宋体" w:cs="宋体"/>
                <w:kern w:val="0"/>
                <w:sz w:val="24"/>
                <w:szCs w:val="24"/>
                <w:lang w:val="pt-BR"/>
              </w:rPr>
              <w:t>具备在线计量计费功能，实现APP或微信在线支付</w:t>
            </w:r>
          </w:p>
        </w:tc>
      </w:tr>
      <w:tr w14:paraId="104199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824" w:type="pct"/>
          </w:tcPr>
          <w:p w14:paraId="2E3DEAFA">
            <w:pPr>
              <w:pStyle w:val="302"/>
              <w:spacing w:before="0" w:after="0"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rPr>
              <w:t>3</w:t>
            </w:r>
          </w:p>
        </w:tc>
        <w:tc>
          <w:tcPr>
            <w:tcW w:w="313" w:type="pct"/>
            <w:tcMar>
              <w:left w:w="57" w:type="dxa"/>
              <w:right w:w="57" w:type="dxa"/>
            </w:tcMar>
            <w:vAlign w:val="center"/>
          </w:tcPr>
          <w:p w14:paraId="446B00EA">
            <w:pPr>
              <w:pStyle w:val="302"/>
              <w:spacing w:before="0" w:after="0" w:line="360" w:lineRule="auto"/>
              <w:jc w:val="center"/>
              <w:rPr>
                <w:rFonts w:hint="eastAsia" w:ascii="宋体" w:hAnsi="宋体" w:eastAsia="宋体" w:cs="宋体"/>
                <w:sz w:val="24"/>
                <w:szCs w:val="24"/>
                <w:highlight w:val="none"/>
              </w:rPr>
            </w:pPr>
          </w:p>
        </w:tc>
        <w:tc>
          <w:tcPr>
            <w:tcW w:w="1322" w:type="pct"/>
            <w:tcMar>
              <w:left w:w="57" w:type="dxa"/>
              <w:right w:w="57" w:type="dxa"/>
            </w:tcMar>
            <w:vAlign w:val="center"/>
          </w:tcPr>
          <w:p w14:paraId="15374F33">
            <w:pPr>
              <w:pStyle w:val="307"/>
              <w:snapToGrid/>
              <w:spacing w:before="0" w:beforeLines="0" w:after="0" w:afterLines="0" w:line="360" w:lineRule="auto"/>
              <w:ind w:left="0" w:leftChars="0" w:right="0" w:rightChars="0"/>
              <w:rPr>
                <w:rFonts w:hint="eastAsia" w:ascii="宋体" w:hAnsi="宋体" w:eastAsia="宋体" w:cs="宋体"/>
                <w:kern w:val="0"/>
                <w:sz w:val="24"/>
                <w:szCs w:val="24"/>
                <w:highlight w:val="none"/>
                <w:lang w:val="zh-CN"/>
              </w:rPr>
            </w:pPr>
            <w:r>
              <w:rPr>
                <w:rFonts w:hint="eastAsia" w:ascii="宋体" w:hAnsi="宋体" w:eastAsia="宋体" w:cs="宋体"/>
                <w:kern w:val="0"/>
                <w:sz w:val="24"/>
                <w:szCs w:val="24"/>
                <w:highlight w:val="none"/>
                <w:lang w:val="zh-CN"/>
              </w:rPr>
              <w:t>充电桩后台运营管理系统和手机A</w:t>
            </w:r>
            <w:r>
              <w:rPr>
                <w:rFonts w:hint="eastAsia" w:ascii="宋体" w:hAnsi="宋体" w:eastAsia="宋体" w:cs="宋体"/>
                <w:kern w:val="0"/>
                <w:sz w:val="24"/>
                <w:szCs w:val="24"/>
                <w:highlight w:val="none"/>
                <w:lang w:val="zh-CN"/>
              </w:rPr>
              <w:t>PP</w:t>
            </w:r>
            <w:r>
              <w:rPr>
                <w:rFonts w:hint="eastAsia" w:ascii="宋体" w:hAnsi="宋体" w:eastAsia="宋体" w:cs="宋体"/>
                <w:kern w:val="0"/>
                <w:sz w:val="24"/>
                <w:szCs w:val="24"/>
                <w:highlight w:val="none"/>
                <w:lang w:val="zh-CN"/>
              </w:rPr>
              <w:t>、微信小程序</w:t>
            </w:r>
          </w:p>
        </w:tc>
        <w:tc>
          <w:tcPr>
            <w:tcW w:w="547" w:type="pct"/>
            <w:tcMar>
              <w:left w:w="57" w:type="dxa"/>
              <w:right w:w="57" w:type="dxa"/>
            </w:tcMar>
            <w:vAlign w:val="center"/>
          </w:tcPr>
          <w:p w14:paraId="54FD1D4C">
            <w:pPr>
              <w:pStyle w:val="307"/>
              <w:snapToGrid/>
              <w:spacing w:before="0" w:beforeLines="0" w:after="0" w:afterLines="0" w:line="360" w:lineRule="auto"/>
              <w:ind w:left="0" w:leftChars="0" w:right="0" w:rightChars="0"/>
              <w:rPr>
                <w:rFonts w:hint="eastAsia" w:ascii="宋体" w:hAnsi="宋体" w:eastAsia="宋体" w:cs="宋体"/>
                <w:kern w:val="0"/>
                <w:sz w:val="24"/>
                <w:szCs w:val="24"/>
                <w:highlight w:val="none"/>
                <w:lang w:val="zh-CN"/>
              </w:rPr>
            </w:pPr>
          </w:p>
        </w:tc>
        <w:tc>
          <w:tcPr>
            <w:tcW w:w="1991" w:type="pct"/>
            <w:tcMar>
              <w:left w:w="57" w:type="dxa"/>
              <w:right w:w="57" w:type="dxa"/>
            </w:tcMar>
            <w:vAlign w:val="center"/>
          </w:tcPr>
          <w:p w14:paraId="07E69072">
            <w:pPr>
              <w:pStyle w:val="307"/>
              <w:snapToGrid/>
              <w:spacing w:before="0" w:beforeLines="0" w:after="0" w:afterLines="0" w:line="360" w:lineRule="auto"/>
              <w:ind w:left="0" w:leftChars="0" w:right="0" w:rightChars="0"/>
              <w:rPr>
                <w:rFonts w:hint="eastAsia" w:ascii="宋体" w:hAnsi="宋体" w:eastAsia="宋体" w:cs="宋体"/>
                <w:kern w:val="0"/>
                <w:sz w:val="24"/>
                <w:szCs w:val="24"/>
                <w:highlight w:val="none"/>
                <w:lang w:val="pt-BR"/>
              </w:rPr>
            </w:pPr>
            <w:r>
              <w:rPr>
                <w:rFonts w:hint="eastAsia" w:ascii="宋体" w:hAnsi="宋体" w:eastAsia="宋体" w:cs="宋体"/>
                <w:kern w:val="0"/>
                <w:sz w:val="24"/>
                <w:szCs w:val="24"/>
                <w:highlight w:val="none"/>
                <w:lang w:val="pt-BR"/>
              </w:rPr>
              <w:t>充电桩后台运营管理系统，具备配套A</w:t>
            </w:r>
            <w:r>
              <w:rPr>
                <w:rFonts w:hint="eastAsia" w:ascii="宋体" w:hAnsi="宋体" w:eastAsia="宋体" w:cs="宋体"/>
                <w:kern w:val="0"/>
                <w:sz w:val="24"/>
                <w:szCs w:val="24"/>
                <w:highlight w:val="none"/>
                <w:lang w:val="pt-BR"/>
              </w:rPr>
              <w:t>PP</w:t>
            </w:r>
            <w:r>
              <w:rPr>
                <w:rFonts w:hint="eastAsia" w:ascii="宋体" w:hAnsi="宋体" w:eastAsia="宋体" w:cs="宋体"/>
                <w:kern w:val="0"/>
                <w:sz w:val="24"/>
                <w:szCs w:val="24"/>
                <w:highlight w:val="none"/>
                <w:lang w:val="pt-BR"/>
              </w:rPr>
              <w:t>或微信小程序功能</w:t>
            </w:r>
          </w:p>
        </w:tc>
      </w:tr>
    </w:tbl>
    <w:p w14:paraId="2045AA34">
      <w:pPr>
        <w:pStyle w:val="306"/>
        <w:overflowPunct w:val="0"/>
        <w:spacing w:before="0" w:after="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使</w:t>
      </w:r>
      <w:r>
        <w:rPr>
          <w:rFonts w:hint="eastAsia" w:ascii="宋体" w:hAnsi="宋体" w:eastAsia="宋体" w:cs="宋体"/>
          <w:sz w:val="24"/>
          <w:szCs w:val="24"/>
        </w:rPr>
        <w:t xml:space="preserve"> </w:t>
      </w:r>
      <w:r>
        <w:rPr>
          <w:rFonts w:hint="eastAsia" w:ascii="宋体" w:hAnsi="宋体" w:eastAsia="宋体" w:cs="宋体"/>
          <w:sz w:val="24"/>
          <w:szCs w:val="24"/>
        </w:rPr>
        <w:t>用</w:t>
      </w:r>
      <w:r>
        <w:rPr>
          <w:rFonts w:hint="eastAsia" w:ascii="宋体" w:hAnsi="宋体" w:eastAsia="宋体" w:cs="宋体"/>
          <w:sz w:val="24"/>
          <w:szCs w:val="24"/>
        </w:rPr>
        <w:t xml:space="preserve"> </w:t>
      </w:r>
      <w:r>
        <w:rPr>
          <w:rFonts w:hint="eastAsia" w:ascii="宋体" w:hAnsi="宋体" w:eastAsia="宋体" w:cs="宋体"/>
          <w:sz w:val="24"/>
          <w:szCs w:val="24"/>
        </w:rPr>
        <w:t>条</w:t>
      </w:r>
      <w:r>
        <w:rPr>
          <w:rFonts w:hint="eastAsia" w:ascii="宋体" w:hAnsi="宋体" w:eastAsia="宋体" w:cs="宋体"/>
          <w:sz w:val="24"/>
          <w:szCs w:val="24"/>
        </w:rPr>
        <w:t xml:space="preserve"> </w:t>
      </w:r>
      <w:r>
        <w:rPr>
          <w:rFonts w:hint="eastAsia" w:ascii="宋体" w:hAnsi="宋体" w:eastAsia="宋体" w:cs="宋体"/>
          <w:sz w:val="24"/>
          <w:szCs w:val="24"/>
        </w:rPr>
        <w:t>件</w:t>
      </w:r>
      <w:r>
        <w:rPr>
          <w:rFonts w:hint="eastAsia" w:ascii="宋体" w:hAnsi="宋体" w:eastAsia="宋体" w:cs="宋体"/>
          <w:sz w:val="24"/>
          <w:szCs w:val="24"/>
        </w:rPr>
        <w:t xml:space="preserve"> </w:t>
      </w:r>
      <w:r>
        <w:rPr>
          <w:rFonts w:hint="eastAsia" w:ascii="宋体" w:hAnsi="宋体" w:eastAsia="宋体" w:cs="宋体"/>
          <w:sz w:val="24"/>
          <w:szCs w:val="24"/>
        </w:rPr>
        <w:t>表</w:t>
      </w:r>
    </w:p>
    <w:tbl>
      <w:tblPr>
        <w:tblStyle w:val="38"/>
        <w:tblW w:w="5081"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534"/>
        <w:gridCol w:w="1750"/>
        <w:gridCol w:w="2520"/>
        <w:gridCol w:w="1468"/>
        <w:gridCol w:w="2469"/>
      </w:tblGrid>
      <w:tr w14:paraId="13867E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787" w:type="pct"/>
            <w:tcBorders>
              <w:top w:val="single" w:color="auto" w:sz="8" w:space="0"/>
              <w:left w:val="single" w:color="auto" w:sz="8" w:space="0"/>
              <w:bottom w:val="single" w:color="auto" w:sz="4" w:space="0"/>
              <w:right w:val="single" w:color="auto" w:sz="4" w:space="0"/>
            </w:tcBorders>
            <w:vAlign w:val="center"/>
          </w:tcPr>
          <w:p w14:paraId="6FDCE7C2">
            <w:pPr>
              <w:topLinePunct/>
              <w:spacing w:line="360" w:lineRule="auto"/>
              <w:jc w:val="center"/>
              <w:rPr>
                <w:rFonts w:hint="eastAsia" w:ascii="宋体" w:hAnsi="宋体" w:eastAsia="宋体" w:cs="宋体"/>
                <w:sz w:val="24"/>
                <w:szCs w:val="24"/>
              </w:rPr>
            </w:pPr>
            <w:r>
              <w:rPr>
                <w:rFonts w:hint="eastAsia" w:ascii="宋体" w:hAnsi="宋体" w:eastAsia="宋体" w:cs="宋体"/>
                <w:sz w:val="24"/>
                <w:szCs w:val="24"/>
              </w:rPr>
              <w:t>序号</w:t>
            </w:r>
          </w:p>
        </w:tc>
        <w:tc>
          <w:tcPr>
            <w:tcW w:w="2191" w:type="pct"/>
            <w:gridSpan w:val="2"/>
            <w:tcBorders>
              <w:top w:val="single" w:color="auto" w:sz="8" w:space="0"/>
              <w:left w:val="single" w:color="auto" w:sz="4" w:space="0"/>
              <w:bottom w:val="single" w:color="auto" w:sz="4" w:space="0"/>
              <w:right w:val="single" w:color="auto" w:sz="4" w:space="0"/>
            </w:tcBorders>
            <w:vAlign w:val="center"/>
          </w:tcPr>
          <w:p w14:paraId="46D1DABA">
            <w:pPr>
              <w:topLinePunct/>
              <w:spacing w:line="360" w:lineRule="auto"/>
              <w:jc w:val="center"/>
              <w:rPr>
                <w:rFonts w:hint="eastAsia" w:ascii="宋体" w:hAnsi="宋体" w:eastAsia="宋体" w:cs="宋体"/>
                <w:sz w:val="24"/>
                <w:szCs w:val="24"/>
              </w:rPr>
            </w:pPr>
            <w:r>
              <w:rPr>
                <w:rFonts w:hint="eastAsia" w:ascii="宋体" w:hAnsi="宋体" w:eastAsia="宋体" w:cs="宋体"/>
                <w:sz w:val="24"/>
                <w:szCs w:val="24"/>
              </w:rPr>
              <w:t>名</w:t>
            </w:r>
            <w:r>
              <w:rPr>
                <w:rFonts w:hint="eastAsia" w:ascii="宋体" w:hAnsi="宋体" w:eastAsia="宋体" w:cs="宋体"/>
                <w:sz w:val="24"/>
                <w:szCs w:val="24"/>
              </w:rPr>
              <w:t xml:space="preserve">  </w:t>
            </w:r>
            <w:r>
              <w:rPr>
                <w:rFonts w:hint="eastAsia" w:ascii="宋体" w:hAnsi="宋体" w:eastAsia="宋体" w:cs="宋体"/>
                <w:sz w:val="24"/>
                <w:szCs w:val="24"/>
              </w:rPr>
              <w:t>称</w:t>
            </w:r>
          </w:p>
        </w:tc>
        <w:tc>
          <w:tcPr>
            <w:tcW w:w="753" w:type="pct"/>
            <w:tcBorders>
              <w:top w:val="single" w:color="auto" w:sz="8" w:space="0"/>
              <w:left w:val="single" w:color="auto" w:sz="4" w:space="0"/>
              <w:bottom w:val="single" w:color="auto" w:sz="4" w:space="0"/>
              <w:right w:val="single" w:color="auto" w:sz="4" w:space="0"/>
            </w:tcBorders>
            <w:vAlign w:val="center"/>
          </w:tcPr>
          <w:p w14:paraId="4EFC96C9">
            <w:pPr>
              <w:topLinePunct/>
              <w:spacing w:line="360" w:lineRule="auto"/>
              <w:jc w:val="center"/>
              <w:rPr>
                <w:rFonts w:hint="eastAsia" w:ascii="宋体" w:hAnsi="宋体" w:eastAsia="宋体" w:cs="宋体"/>
                <w:sz w:val="24"/>
                <w:szCs w:val="24"/>
              </w:rPr>
            </w:pPr>
            <w:r>
              <w:rPr>
                <w:rFonts w:hint="eastAsia" w:ascii="宋体" w:hAnsi="宋体" w:eastAsia="宋体" w:cs="宋体"/>
                <w:sz w:val="24"/>
                <w:szCs w:val="24"/>
              </w:rPr>
              <w:t>单位</w:t>
            </w:r>
          </w:p>
        </w:tc>
        <w:tc>
          <w:tcPr>
            <w:tcW w:w="1267" w:type="pct"/>
            <w:tcBorders>
              <w:top w:val="single" w:color="auto" w:sz="8" w:space="0"/>
              <w:left w:val="single" w:color="auto" w:sz="4" w:space="0"/>
              <w:bottom w:val="single" w:color="auto" w:sz="4" w:space="0"/>
              <w:right w:val="single" w:color="auto" w:sz="4" w:space="0"/>
            </w:tcBorders>
            <w:vAlign w:val="center"/>
          </w:tcPr>
          <w:p w14:paraId="4B6AEA26">
            <w:pPr>
              <w:topLinePunct/>
              <w:spacing w:line="360" w:lineRule="auto"/>
              <w:jc w:val="center"/>
              <w:rPr>
                <w:rFonts w:hint="eastAsia" w:ascii="宋体" w:hAnsi="宋体" w:eastAsia="宋体" w:cs="宋体"/>
                <w:sz w:val="24"/>
                <w:szCs w:val="24"/>
              </w:rPr>
            </w:pPr>
            <w:r>
              <w:rPr>
                <w:rFonts w:hint="eastAsia" w:ascii="宋体" w:hAnsi="宋体" w:eastAsia="宋体" w:cs="宋体"/>
                <w:sz w:val="24"/>
                <w:szCs w:val="24"/>
              </w:rPr>
              <w:t>招标人</w:t>
            </w:r>
            <w:r>
              <w:rPr>
                <w:rFonts w:hint="eastAsia" w:ascii="宋体" w:hAnsi="宋体" w:eastAsia="宋体" w:cs="宋体"/>
                <w:snapToGrid w:val="0"/>
                <w:kern w:val="0"/>
                <w:sz w:val="24"/>
                <w:szCs w:val="24"/>
              </w:rPr>
              <w:t>要求值</w:t>
            </w:r>
          </w:p>
        </w:tc>
      </w:tr>
      <w:tr w14:paraId="6C3EC52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87" w:type="pct"/>
            <w:vMerge w:val="restart"/>
            <w:tcBorders>
              <w:top w:val="single" w:color="auto" w:sz="4" w:space="0"/>
              <w:left w:val="single" w:color="auto" w:sz="8" w:space="0"/>
              <w:bottom w:val="single" w:color="auto" w:sz="4" w:space="0"/>
              <w:right w:val="single" w:color="auto" w:sz="4" w:space="0"/>
            </w:tcBorders>
            <w:vAlign w:val="center"/>
          </w:tcPr>
          <w:p w14:paraId="68073627">
            <w:pPr>
              <w:topLinePunct/>
              <w:spacing w:line="360"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898" w:type="pct"/>
            <w:vMerge w:val="restart"/>
            <w:tcBorders>
              <w:top w:val="single" w:color="auto" w:sz="4" w:space="0"/>
              <w:left w:val="single" w:color="auto" w:sz="4" w:space="0"/>
              <w:bottom w:val="single" w:color="auto" w:sz="4" w:space="0"/>
              <w:right w:val="single" w:color="auto" w:sz="4" w:space="0"/>
            </w:tcBorders>
            <w:vAlign w:val="center"/>
          </w:tcPr>
          <w:p w14:paraId="5A384F90">
            <w:pPr>
              <w:topLinePunct/>
              <w:spacing w:line="360" w:lineRule="auto"/>
              <w:jc w:val="both"/>
              <w:rPr>
                <w:rFonts w:hint="eastAsia" w:ascii="宋体" w:hAnsi="宋体" w:eastAsia="宋体" w:cs="宋体"/>
                <w:b/>
                <w:sz w:val="24"/>
                <w:szCs w:val="24"/>
              </w:rPr>
            </w:pPr>
            <w:r>
              <w:rPr>
                <w:rFonts w:hint="eastAsia" w:ascii="宋体" w:hAnsi="宋体" w:eastAsia="宋体" w:cs="宋体"/>
                <w:sz w:val="24"/>
                <w:szCs w:val="24"/>
              </w:rPr>
              <w:t>环境温度</w:t>
            </w:r>
          </w:p>
        </w:tc>
        <w:tc>
          <w:tcPr>
            <w:tcW w:w="1292" w:type="pct"/>
            <w:tcBorders>
              <w:top w:val="single" w:color="auto" w:sz="4" w:space="0"/>
              <w:left w:val="single" w:color="auto" w:sz="4" w:space="0"/>
              <w:bottom w:val="single" w:color="auto" w:sz="4" w:space="0"/>
              <w:right w:val="single" w:color="auto" w:sz="4" w:space="0"/>
            </w:tcBorders>
            <w:vAlign w:val="center"/>
          </w:tcPr>
          <w:p w14:paraId="4D9CE726">
            <w:pPr>
              <w:topLinePunct/>
              <w:spacing w:line="360" w:lineRule="auto"/>
              <w:jc w:val="left"/>
              <w:rPr>
                <w:rFonts w:hint="eastAsia" w:ascii="宋体" w:hAnsi="宋体" w:eastAsia="宋体" w:cs="宋体"/>
                <w:b/>
                <w:sz w:val="24"/>
                <w:szCs w:val="24"/>
              </w:rPr>
            </w:pPr>
            <w:r>
              <w:rPr>
                <w:rFonts w:hint="eastAsia" w:ascii="宋体" w:hAnsi="宋体" w:eastAsia="宋体" w:cs="宋体"/>
                <w:sz w:val="24"/>
                <w:szCs w:val="24"/>
              </w:rPr>
              <w:t>日最高温度</w:t>
            </w:r>
          </w:p>
        </w:tc>
        <w:tc>
          <w:tcPr>
            <w:tcW w:w="753" w:type="pct"/>
            <w:vMerge w:val="restart"/>
            <w:tcBorders>
              <w:top w:val="single" w:color="auto" w:sz="4" w:space="0"/>
              <w:left w:val="single" w:color="auto" w:sz="4" w:space="0"/>
              <w:bottom w:val="single" w:color="auto" w:sz="4" w:space="0"/>
              <w:right w:val="single" w:color="auto" w:sz="4" w:space="0"/>
            </w:tcBorders>
            <w:vAlign w:val="center"/>
          </w:tcPr>
          <w:p w14:paraId="426AA8BE">
            <w:pPr>
              <w:topLinePunct/>
              <w:spacing w:line="360" w:lineRule="auto"/>
              <w:jc w:val="center"/>
              <w:rPr>
                <w:rFonts w:hint="eastAsia" w:ascii="宋体" w:hAnsi="宋体" w:eastAsia="宋体" w:cs="宋体"/>
                <w:b/>
                <w:sz w:val="24"/>
                <w:szCs w:val="24"/>
              </w:rPr>
            </w:pPr>
            <w:r>
              <w:rPr>
                <w:rFonts w:hint="eastAsia" w:ascii="宋体" w:hAnsi="宋体" w:eastAsia="宋体" w:cs="宋体"/>
                <w:sz w:val="24"/>
                <w:szCs w:val="24"/>
              </w:rPr>
              <w:t>℃</w:t>
            </w:r>
          </w:p>
        </w:tc>
        <w:tc>
          <w:tcPr>
            <w:tcW w:w="1267" w:type="pct"/>
            <w:tcBorders>
              <w:top w:val="single" w:color="auto" w:sz="4" w:space="0"/>
              <w:left w:val="single" w:color="auto" w:sz="4" w:space="0"/>
              <w:bottom w:val="single" w:color="auto" w:sz="4" w:space="0"/>
              <w:right w:val="single" w:color="auto" w:sz="4" w:space="0"/>
            </w:tcBorders>
            <w:vAlign w:val="center"/>
          </w:tcPr>
          <w:p w14:paraId="1A2914FA">
            <w:pPr>
              <w:topLinePunct/>
              <w:spacing w:line="360" w:lineRule="auto"/>
              <w:jc w:val="center"/>
              <w:rPr>
                <w:rFonts w:hint="eastAsia" w:ascii="宋体" w:hAnsi="宋体" w:eastAsia="宋体" w:cs="宋体"/>
                <w:sz w:val="24"/>
                <w:szCs w:val="24"/>
              </w:rPr>
            </w:pPr>
            <w:r>
              <w:rPr>
                <w:rFonts w:hint="eastAsia" w:ascii="宋体" w:hAnsi="宋体" w:eastAsia="宋体" w:cs="宋体"/>
                <w:sz w:val="24"/>
                <w:szCs w:val="24"/>
              </w:rPr>
              <w:t>6</w:t>
            </w:r>
            <w:r>
              <w:rPr>
                <w:rFonts w:hint="eastAsia" w:ascii="宋体" w:hAnsi="宋体" w:eastAsia="宋体" w:cs="宋体"/>
                <w:sz w:val="24"/>
                <w:szCs w:val="24"/>
              </w:rPr>
              <w:t>0</w:t>
            </w:r>
          </w:p>
        </w:tc>
      </w:tr>
      <w:tr w14:paraId="4BDCC1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87" w:type="pct"/>
            <w:vMerge w:val="continue"/>
            <w:tcBorders>
              <w:top w:val="single" w:color="auto" w:sz="4" w:space="0"/>
              <w:left w:val="single" w:color="auto" w:sz="8" w:space="0"/>
              <w:bottom w:val="single" w:color="auto" w:sz="4" w:space="0"/>
              <w:right w:val="single" w:color="auto" w:sz="4" w:space="0"/>
            </w:tcBorders>
            <w:vAlign w:val="center"/>
          </w:tcPr>
          <w:p w14:paraId="7D6CEDE1">
            <w:pPr>
              <w:widowControl/>
              <w:spacing w:line="360" w:lineRule="auto"/>
              <w:jc w:val="left"/>
              <w:rPr>
                <w:rFonts w:hint="eastAsia" w:ascii="宋体" w:hAnsi="宋体" w:eastAsia="宋体" w:cs="宋体"/>
                <w:sz w:val="24"/>
                <w:szCs w:val="24"/>
              </w:rPr>
            </w:pPr>
          </w:p>
        </w:tc>
        <w:tc>
          <w:tcPr>
            <w:tcW w:w="898" w:type="pct"/>
            <w:vMerge w:val="continue"/>
            <w:tcBorders>
              <w:top w:val="single" w:color="auto" w:sz="4" w:space="0"/>
              <w:left w:val="single" w:color="auto" w:sz="4" w:space="0"/>
              <w:bottom w:val="single" w:color="auto" w:sz="4" w:space="0"/>
              <w:right w:val="single" w:color="auto" w:sz="4" w:space="0"/>
            </w:tcBorders>
            <w:vAlign w:val="center"/>
          </w:tcPr>
          <w:p w14:paraId="4A014155">
            <w:pPr>
              <w:widowControl/>
              <w:spacing w:line="360" w:lineRule="auto"/>
              <w:jc w:val="left"/>
              <w:rPr>
                <w:rFonts w:hint="eastAsia" w:ascii="宋体" w:hAnsi="宋体" w:eastAsia="宋体" w:cs="宋体"/>
                <w:b/>
                <w:sz w:val="24"/>
                <w:szCs w:val="24"/>
              </w:rPr>
            </w:pPr>
          </w:p>
        </w:tc>
        <w:tc>
          <w:tcPr>
            <w:tcW w:w="1292" w:type="pct"/>
            <w:tcBorders>
              <w:top w:val="single" w:color="auto" w:sz="4" w:space="0"/>
              <w:left w:val="single" w:color="auto" w:sz="4" w:space="0"/>
              <w:bottom w:val="single" w:color="auto" w:sz="4" w:space="0"/>
              <w:right w:val="single" w:color="auto" w:sz="4" w:space="0"/>
            </w:tcBorders>
            <w:vAlign w:val="center"/>
          </w:tcPr>
          <w:p w14:paraId="0763EE67">
            <w:pPr>
              <w:topLinePunct/>
              <w:spacing w:line="360" w:lineRule="auto"/>
              <w:jc w:val="left"/>
              <w:rPr>
                <w:rFonts w:hint="eastAsia" w:ascii="宋体" w:hAnsi="宋体" w:eastAsia="宋体" w:cs="宋体"/>
                <w:b/>
                <w:sz w:val="24"/>
                <w:szCs w:val="24"/>
              </w:rPr>
            </w:pPr>
            <w:r>
              <w:rPr>
                <w:rFonts w:hint="eastAsia" w:ascii="宋体" w:hAnsi="宋体" w:eastAsia="宋体" w:cs="宋体"/>
                <w:sz w:val="24"/>
                <w:szCs w:val="24"/>
              </w:rPr>
              <w:t>日最低温度</w:t>
            </w:r>
          </w:p>
        </w:tc>
        <w:tc>
          <w:tcPr>
            <w:tcW w:w="753" w:type="pct"/>
            <w:vMerge w:val="continue"/>
            <w:tcBorders>
              <w:top w:val="single" w:color="auto" w:sz="4" w:space="0"/>
              <w:left w:val="single" w:color="auto" w:sz="4" w:space="0"/>
              <w:bottom w:val="single" w:color="auto" w:sz="4" w:space="0"/>
              <w:right w:val="single" w:color="auto" w:sz="4" w:space="0"/>
            </w:tcBorders>
            <w:vAlign w:val="center"/>
          </w:tcPr>
          <w:p w14:paraId="615D205D">
            <w:pPr>
              <w:widowControl/>
              <w:spacing w:line="360" w:lineRule="auto"/>
              <w:jc w:val="left"/>
              <w:rPr>
                <w:rFonts w:hint="eastAsia" w:ascii="宋体" w:hAnsi="宋体" w:eastAsia="宋体" w:cs="宋体"/>
                <w:b/>
                <w:sz w:val="24"/>
                <w:szCs w:val="24"/>
              </w:rPr>
            </w:pPr>
          </w:p>
        </w:tc>
        <w:tc>
          <w:tcPr>
            <w:tcW w:w="1267" w:type="pct"/>
            <w:tcBorders>
              <w:top w:val="single" w:color="auto" w:sz="4" w:space="0"/>
              <w:left w:val="single" w:color="auto" w:sz="4" w:space="0"/>
              <w:bottom w:val="single" w:color="auto" w:sz="4" w:space="0"/>
              <w:right w:val="single" w:color="auto" w:sz="4" w:space="0"/>
            </w:tcBorders>
            <w:vAlign w:val="center"/>
          </w:tcPr>
          <w:p w14:paraId="6806FF33">
            <w:pPr>
              <w:topLinePunct/>
              <w:spacing w:line="360" w:lineRule="auto"/>
              <w:jc w:val="center"/>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rPr>
              <w:t>3</w:t>
            </w:r>
            <w:r>
              <w:rPr>
                <w:rFonts w:hint="eastAsia" w:ascii="宋体" w:hAnsi="宋体" w:eastAsia="宋体" w:cs="宋体"/>
                <w:sz w:val="24"/>
                <w:szCs w:val="24"/>
              </w:rPr>
              <w:t>0</w:t>
            </w:r>
          </w:p>
        </w:tc>
      </w:tr>
      <w:tr w14:paraId="2874CA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87" w:type="pct"/>
            <w:vMerge w:val="continue"/>
            <w:tcBorders>
              <w:top w:val="single" w:color="auto" w:sz="4" w:space="0"/>
              <w:left w:val="single" w:color="auto" w:sz="8" w:space="0"/>
              <w:bottom w:val="single" w:color="auto" w:sz="4" w:space="0"/>
              <w:right w:val="single" w:color="auto" w:sz="4" w:space="0"/>
            </w:tcBorders>
            <w:vAlign w:val="center"/>
          </w:tcPr>
          <w:p w14:paraId="6D3A25EE">
            <w:pPr>
              <w:widowControl/>
              <w:spacing w:line="360" w:lineRule="auto"/>
              <w:jc w:val="left"/>
              <w:rPr>
                <w:rFonts w:hint="eastAsia" w:ascii="宋体" w:hAnsi="宋体" w:eastAsia="宋体" w:cs="宋体"/>
                <w:sz w:val="24"/>
                <w:szCs w:val="24"/>
              </w:rPr>
            </w:pPr>
          </w:p>
        </w:tc>
        <w:tc>
          <w:tcPr>
            <w:tcW w:w="898" w:type="pct"/>
            <w:vMerge w:val="continue"/>
            <w:tcBorders>
              <w:top w:val="single" w:color="auto" w:sz="4" w:space="0"/>
              <w:left w:val="single" w:color="auto" w:sz="4" w:space="0"/>
              <w:bottom w:val="single" w:color="auto" w:sz="4" w:space="0"/>
              <w:right w:val="single" w:color="auto" w:sz="4" w:space="0"/>
            </w:tcBorders>
            <w:vAlign w:val="center"/>
          </w:tcPr>
          <w:p w14:paraId="49B77A3F">
            <w:pPr>
              <w:widowControl/>
              <w:spacing w:line="360" w:lineRule="auto"/>
              <w:jc w:val="left"/>
              <w:rPr>
                <w:rFonts w:hint="eastAsia" w:ascii="宋体" w:hAnsi="宋体" w:eastAsia="宋体" w:cs="宋体"/>
                <w:b/>
                <w:sz w:val="24"/>
                <w:szCs w:val="24"/>
              </w:rPr>
            </w:pPr>
          </w:p>
        </w:tc>
        <w:tc>
          <w:tcPr>
            <w:tcW w:w="1292" w:type="pct"/>
            <w:tcBorders>
              <w:top w:val="single" w:color="auto" w:sz="4" w:space="0"/>
              <w:left w:val="single" w:color="auto" w:sz="4" w:space="0"/>
              <w:bottom w:val="single" w:color="auto" w:sz="4" w:space="0"/>
              <w:right w:val="single" w:color="auto" w:sz="4" w:space="0"/>
            </w:tcBorders>
            <w:vAlign w:val="center"/>
          </w:tcPr>
          <w:p w14:paraId="1103E8FD">
            <w:pPr>
              <w:topLinePunct/>
              <w:spacing w:line="360" w:lineRule="auto"/>
              <w:jc w:val="left"/>
              <w:rPr>
                <w:rFonts w:hint="eastAsia" w:ascii="宋体" w:hAnsi="宋体" w:eastAsia="宋体" w:cs="宋体"/>
                <w:sz w:val="24"/>
                <w:szCs w:val="24"/>
              </w:rPr>
            </w:pPr>
            <w:r>
              <w:rPr>
                <w:rFonts w:hint="eastAsia" w:ascii="宋体" w:hAnsi="宋体" w:eastAsia="宋体" w:cs="宋体"/>
                <w:sz w:val="24"/>
                <w:szCs w:val="24"/>
              </w:rPr>
              <w:t>日最大温差</w:t>
            </w:r>
          </w:p>
        </w:tc>
        <w:tc>
          <w:tcPr>
            <w:tcW w:w="753" w:type="pct"/>
            <w:vMerge w:val="continue"/>
            <w:tcBorders>
              <w:top w:val="single" w:color="auto" w:sz="4" w:space="0"/>
              <w:left w:val="single" w:color="auto" w:sz="4" w:space="0"/>
              <w:bottom w:val="single" w:color="auto" w:sz="4" w:space="0"/>
              <w:right w:val="single" w:color="auto" w:sz="4" w:space="0"/>
            </w:tcBorders>
            <w:vAlign w:val="center"/>
          </w:tcPr>
          <w:p w14:paraId="68C9EFEE">
            <w:pPr>
              <w:widowControl/>
              <w:spacing w:line="360" w:lineRule="auto"/>
              <w:jc w:val="left"/>
              <w:rPr>
                <w:rFonts w:hint="eastAsia" w:ascii="宋体" w:hAnsi="宋体" w:eastAsia="宋体" w:cs="宋体"/>
                <w:b/>
                <w:sz w:val="24"/>
                <w:szCs w:val="24"/>
              </w:rPr>
            </w:pPr>
          </w:p>
        </w:tc>
        <w:tc>
          <w:tcPr>
            <w:tcW w:w="1267" w:type="pct"/>
            <w:tcBorders>
              <w:top w:val="single" w:color="auto" w:sz="4" w:space="0"/>
              <w:left w:val="single" w:color="auto" w:sz="4" w:space="0"/>
              <w:bottom w:val="single" w:color="auto" w:sz="4" w:space="0"/>
              <w:right w:val="single" w:color="auto" w:sz="4" w:space="0"/>
            </w:tcBorders>
            <w:vAlign w:val="center"/>
          </w:tcPr>
          <w:p w14:paraId="743CF616">
            <w:pPr>
              <w:topLinePunct/>
              <w:spacing w:line="360" w:lineRule="auto"/>
              <w:jc w:val="center"/>
              <w:rPr>
                <w:rFonts w:hint="eastAsia" w:ascii="宋体" w:hAnsi="宋体" w:eastAsia="宋体" w:cs="宋体"/>
                <w:sz w:val="24"/>
                <w:szCs w:val="24"/>
              </w:rPr>
            </w:pPr>
            <w:r>
              <w:rPr>
                <w:rFonts w:hint="eastAsia" w:ascii="宋体" w:hAnsi="宋体" w:eastAsia="宋体" w:cs="宋体"/>
                <w:sz w:val="24"/>
                <w:szCs w:val="24"/>
              </w:rPr>
              <w:t>25</w:t>
            </w:r>
          </w:p>
        </w:tc>
      </w:tr>
      <w:tr w14:paraId="3D5C07F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87" w:type="pct"/>
            <w:vMerge w:val="restart"/>
            <w:tcBorders>
              <w:top w:val="single" w:color="auto" w:sz="4" w:space="0"/>
              <w:left w:val="single" w:color="auto" w:sz="8" w:space="0"/>
              <w:bottom w:val="single" w:color="auto" w:sz="4" w:space="0"/>
              <w:right w:val="single" w:color="auto" w:sz="4" w:space="0"/>
            </w:tcBorders>
            <w:vAlign w:val="center"/>
          </w:tcPr>
          <w:p w14:paraId="74F5BAF4">
            <w:pPr>
              <w:topLinePunct/>
              <w:spacing w:line="360" w:lineRule="auto"/>
              <w:jc w:val="center"/>
              <w:rPr>
                <w:rFonts w:hint="eastAsia" w:ascii="宋体" w:hAnsi="宋体" w:eastAsia="宋体" w:cs="宋体"/>
                <w:b/>
                <w:sz w:val="24"/>
                <w:szCs w:val="24"/>
              </w:rPr>
            </w:pPr>
            <w:r>
              <w:rPr>
                <w:rFonts w:hint="eastAsia" w:ascii="宋体" w:hAnsi="宋体" w:eastAsia="宋体" w:cs="宋体"/>
                <w:sz w:val="24"/>
                <w:szCs w:val="24"/>
              </w:rPr>
              <w:t>2</w:t>
            </w:r>
          </w:p>
        </w:tc>
        <w:tc>
          <w:tcPr>
            <w:tcW w:w="898" w:type="pct"/>
            <w:vMerge w:val="restart"/>
            <w:tcBorders>
              <w:top w:val="single" w:color="auto" w:sz="4" w:space="0"/>
              <w:left w:val="single" w:color="auto" w:sz="4" w:space="0"/>
              <w:bottom w:val="single" w:color="auto" w:sz="4" w:space="0"/>
              <w:right w:val="single" w:color="auto" w:sz="4" w:space="0"/>
            </w:tcBorders>
            <w:vAlign w:val="center"/>
          </w:tcPr>
          <w:p w14:paraId="3DE35675">
            <w:pPr>
              <w:topLinePunct/>
              <w:spacing w:line="360" w:lineRule="auto"/>
              <w:rPr>
                <w:rFonts w:hint="eastAsia" w:ascii="宋体" w:hAnsi="宋体" w:eastAsia="宋体" w:cs="宋体"/>
                <w:b/>
                <w:sz w:val="24"/>
                <w:szCs w:val="24"/>
              </w:rPr>
            </w:pPr>
            <w:r>
              <w:rPr>
                <w:rFonts w:hint="eastAsia" w:ascii="宋体" w:hAnsi="宋体" w:eastAsia="宋体" w:cs="宋体"/>
                <w:sz w:val="24"/>
                <w:szCs w:val="24"/>
              </w:rPr>
              <w:t>湿度</w:t>
            </w:r>
          </w:p>
        </w:tc>
        <w:tc>
          <w:tcPr>
            <w:tcW w:w="1292" w:type="pct"/>
            <w:tcBorders>
              <w:top w:val="single" w:color="auto" w:sz="4" w:space="0"/>
              <w:left w:val="single" w:color="auto" w:sz="4" w:space="0"/>
              <w:bottom w:val="single" w:color="auto" w:sz="4" w:space="0"/>
              <w:right w:val="single" w:color="auto" w:sz="4" w:space="0"/>
            </w:tcBorders>
            <w:vAlign w:val="center"/>
          </w:tcPr>
          <w:p w14:paraId="5513A394">
            <w:pPr>
              <w:topLinePunct/>
              <w:spacing w:line="360" w:lineRule="auto"/>
              <w:jc w:val="left"/>
              <w:rPr>
                <w:rFonts w:hint="eastAsia" w:ascii="宋体" w:hAnsi="宋体" w:eastAsia="宋体" w:cs="宋体"/>
                <w:sz w:val="24"/>
                <w:szCs w:val="24"/>
              </w:rPr>
            </w:pPr>
            <w:r>
              <w:rPr>
                <w:rFonts w:hint="eastAsia" w:ascii="宋体" w:hAnsi="宋体" w:eastAsia="宋体" w:cs="宋体"/>
                <w:sz w:val="24"/>
                <w:szCs w:val="24"/>
              </w:rPr>
              <w:t>日相对湿度平均值</w:t>
            </w:r>
          </w:p>
        </w:tc>
        <w:tc>
          <w:tcPr>
            <w:tcW w:w="753" w:type="pct"/>
            <w:vMerge w:val="restart"/>
            <w:tcBorders>
              <w:top w:val="single" w:color="auto" w:sz="4" w:space="0"/>
              <w:left w:val="single" w:color="auto" w:sz="4" w:space="0"/>
              <w:bottom w:val="single" w:color="auto" w:sz="4" w:space="0"/>
              <w:right w:val="single" w:color="auto" w:sz="4" w:space="0"/>
            </w:tcBorders>
            <w:vAlign w:val="center"/>
          </w:tcPr>
          <w:p w14:paraId="5A105724">
            <w:pPr>
              <w:topLinePunct/>
              <w:spacing w:line="360" w:lineRule="auto"/>
              <w:jc w:val="center"/>
              <w:rPr>
                <w:rFonts w:hint="eastAsia" w:ascii="宋体" w:hAnsi="宋体" w:eastAsia="宋体" w:cs="宋体"/>
                <w:b/>
                <w:sz w:val="24"/>
                <w:szCs w:val="24"/>
              </w:rPr>
            </w:pPr>
            <w:r>
              <w:rPr>
                <w:rFonts w:hint="eastAsia" w:ascii="宋体" w:hAnsi="宋体" w:eastAsia="宋体" w:cs="宋体"/>
                <w:sz w:val="24"/>
                <w:szCs w:val="24"/>
              </w:rPr>
              <w:t>%</w:t>
            </w:r>
          </w:p>
        </w:tc>
        <w:tc>
          <w:tcPr>
            <w:tcW w:w="1267" w:type="pct"/>
            <w:tcBorders>
              <w:top w:val="single" w:color="auto" w:sz="4" w:space="0"/>
              <w:left w:val="single" w:color="auto" w:sz="4" w:space="0"/>
              <w:bottom w:val="single" w:color="auto" w:sz="4" w:space="0"/>
              <w:right w:val="single" w:color="auto" w:sz="4" w:space="0"/>
            </w:tcBorders>
            <w:vAlign w:val="center"/>
          </w:tcPr>
          <w:p w14:paraId="335F3C2E">
            <w:pPr>
              <w:topLinePunct/>
              <w:spacing w:line="360" w:lineRule="auto"/>
              <w:jc w:val="center"/>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rPr>
              <w:t>95</w:t>
            </w:r>
          </w:p>
        </w:tc>
      </w:tr>
      <w:tr w14:paraId="7426D96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87" w:type="pct"/>
            <w:vMerge w:val="continue"/>
            <w:tcBorders>
              <w:top w:val="single" w:color="auto" w:sz="4" w:space="0"/>
              <w:left w:val="single" w:color="auto" w:sz="8" w:space="0"/>
              <w:bottom w:val="single" w:color="auto" w:sz="4" w:space="0"/>
              <w:right w:val="single" w:color="auto" w:sz="4" w:space="0"/>
            </w:tcBorders>
            <w:vAlign w:val="center"/>
          </w:tcPr>
          <w:p w14:paraId="708F1C3C">
            <w:pPr>
              <w:widowControl/>
              <w:spacing w:line="360" w:lineRule="auto"/>
              <w:jc w:val="left"/>
              <w:rPr>
                <w:rFonts w:hint="eastAsia" w:ascii="宋体" w:hAnsi="宋体" w:eastAsia="宋体" w:cs="宋体"/>
                <w:b/>
                <w:sz w:val="24"/>
                <w:szCs w:val="24"/>
              </w:rPr>
            </w:pPr>
          </w:p>
        </w:tc>
        <w:tc>
          <w:tcPr>
            <w:tcW w:w="898" w:type="pct"/>
            <w:vMerge w:val="continue"/>
            <w:tcBorders>
              <w:top w:val="single" w:color="auto" w:sz="4" w:space="0"/>
              <w:left w:val="single" w:color="auto" w:sz="4" w:space="0"/>
              <w:bottom w:val="single" w:color="auto" w:sz="4" w:space="0"/>
              <w:right w:val="single" w:color="auto" w:sz="4" w:space="0"/>
            </w:tcBorders>
            <w:vAlign w:val="center"/>
          </w:tcPr>
          <w:p w14:paraId="22DA7F26">
            <w:pPr>
              <w:widowControl/>
              <w:spacing w:line="360" w:lineRule="auto"/>
              <w:jc w:val="left"/>
              <w:rPr>
                <w:rFonts w:hint="eastAsia" w:ascii="宋体" w:hAnsi="宋体" w:eastAsia="宋体" w:cs="宋体"/>
                <w:b/>
                <w:sz w:val="24"/>
                <w:szCs w:val="24"/>
              </w:rPr>
            </w:pPr>
          </w:p>
        </w:tc>
        <w:tc>
          <w:tcPr>
            <w:tcW w:w="1292" w:type="pct"/>
            <w:tcBorders>
              <w:top w:val="single" w:color="auto" w:sz="4" w:space="0"/>
              <w:left w:val="single" w:color="auto" w:sz="4" w:space="0"/>
              <w:bottom w:val="single" w:color="auto" w:sz="4" w:space="0"/>
              <w:right w:val="single" w:color="auto" w:sz="4" w:space="0"/>
            </w:tcBorders>
            <w:vAlign w:val="center"/>
          </w:tcPr>
          <w:p w14:paraId="5FB31EB3">
            <w:pPr>
              <w:topLinePunct/>
              <w:spacing w:line="360" w:lineRule="auto"/>
              <w:jc w:val="left"/>
              <w:rPr>
                <w:rFonts w:hint="eastAsia" w:ascii="宋体" w:hAnsi="宋体" w:eastAsia="宋体" w:cs="宋体"/>
                <w:sz w:val="24"/>
                <w:szCs w:val="24"/>
              </w:rPr>
            </w:pPr>
            <w:r>
              <w:rPr>
                <w:rFonts w:hint="eastAsia" w:ascii="宋体" w:hAnsi="宋体" w:eastAsia="宋体" w:cs="宋体"/>
                <w:sz w:val="24"/>
                <w:szCs w:val="24"/>
              </w:rPr>
              <w:t>月相对湿度平均值</w:t>
            </w:r>
          </w:p>
        </w:tc>
        <w:tc>
          <w:tcPr>
            <w:tcW w:w="753" w:type="pct"/>
            <w:vMerge w:val="continue"/>
            <w:tcBorders>
              <w:top w:val="single" w:color="auto" w:sz="4" w:space="0"/>
              <w:left w:val="single" w:color="auto" w:sz="4" w:space="0"/>
              <w:bottom w:val="single" w:color="auto" w:sz="4" w:space="0"/>
              <w:right w:val="single" w:color="auto" w:sz="4" w:space="0"/>
            </w:tcBorders>
            <w:vAlign w:val="center"/>
          </w:tcPr>
          <w:p w14:paraId="51350A22">
            <w:pPr>
              <w:widowControl/>
              <w:spacing w:line="360" w:lineRule="auto"/>
              <w:jc w:val="left"/>
              <w:rPr>
                <w:rFonts w:hint="eastAsia" w:ascii="宋体" w:hAnsi="宋体" w:eastAsia="宋体" w:cs="宋体"/>
                <w:b/>
                <w:sz w:val="24"/>
                <w:szCs w:val="24"/>
              </w:rPr>
            </w:pPr>
          </w:p>
        </w:tc>
        <w:tc>
          <w:tcPr>
            <w:tcW w:w="1267" w:type="pct"/>
            <w:tcBorders>
              <w:top w:val="single" w:color="auto" w:sz="4" w:space="0"/>
              <w:left w:val="single" w:color="auto" w:sz="4" w:space="0"/>
              <w:bottom w:val="single" w:color="auto" w:sz="4" w:space="0"/>
              <w:right w:val="single" w:color="auto" w:sz="4" w:space="0"/>
            </w:tcBorders>
            <w:vAlign w:val="center"/>
          </w:tcPr>
          <w:p w14:paraId="0BD15C1B">
            <w:pPr>
              <w:topLinePunct/>
              <w:spacing w:line="360" w:lineRule="auto"/>
              <w:jc w:val="center"/>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rPr>
              <w:t>90</w:t>
            </w:r>
          </w:p>
        </w:tc>
      </w:tr>
      <w:tr w14:paraId="3E18C0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87" w:type="pct"/>
            <w:tcBorders>
              <w:top w:val="single" w:color="auto" w:sz="4" w:space="0"/>
              <w:left w:val="single" w:color="auto" w:sz="8" w:space="0"/>
              <w:bottom w:val="single" w:color="auto" w:sz="4" w:space="0"/>
              <w:right w:val="single" w:color="auto" w:sz="4" w:space="0"/>
            </w:tcBorders>
            <w:vAlign w:val="center"/>
          </w:tcPr>
          <w:p w14:paraId="25B2728F">
            <w:pPr>
              <w:topLinePunct/>
              <w:spacing w:line="360" w:lineRule="auto"/>
              <w:jc w:val="center"/>
              <w:rPr>
                <w:rFonts w:hint="eastAsia" w:ascii="宋体" w:hAnsi="宋体" w:eastAsia="宋体" w:cs="宋体"/>
                <w:sz w:val="24"/>
                <w:szCs w:val="24"/>
              </w:rPr>
            </w:pPr>
            <w:r>
              <w:rPr>
                <w:rFonts w:hint="eastAsia" w:ascii="宋体" w:hAnsi="宋体" w:eastAsia="宋体" w:cs="宋体"/>
                <w:sz w:val="24"/>
                <w:szCs w:val="24"/>
              </w:rPr>
              <w:t>3</w:t>
            </w:r>
          </w:p>
        </w:tc>
        <w:tc>
          <w:tcPr>
            <w:tcW w:w="2191" w:type="pct"/>
            <w:gridSpan w:val="2"/>
            <w:tcBorders>
              <w:top w:val="single" w:color="auto" w:sz="4" w:space="0"/>
              <w:left w:val="single" w:color="auto" w:sz="4" w:space="0"/>
              <w:bottom w:val="single" w:color="auto" w:sz="4" w:space="0"/>
              <w:right w:val="single" w:color="auto" w:sz="4" w:space="0"/>
            </w:tcBorders>
            <w:vAlign w:val="center"/>
          </w:tcPr>
          <w:p w14:paraId="0DBD4FF9">
            <w:pPr>
              <w:topLinePunct/>
              <w:spacing w:line="360" w:lineRule="auto"/>
              <w:rPr>
                <w:rFonts w:hint="eastAsia" w:ascii="宋体" w:hAnsi="宋体" w:eastAsia="宋体" w:cs="宋体"/>
                <w:sz w:val="24"/>
                <w:szCs w:val="24"/>
              </w:rPr>
            </w:pPr>
            <w:r>
              <w:rPr>
                <w:rFonts w:hint="eastAsia" w:ascii="宋体" w:hAnsi="宋体" w:eastAsia="宋体" w:cs="宋体"/>
                <w:sz w:val="24"/>
                <w:szCs w:val="24"/>
              </w:rPr>
              <w:t>海拔高度</w:t>
            </w:r>
          </w:p>
        </w:tc>
        <w:tc>
          <w:tcPr>
            <w:tcW w:w="753" w:type="pct"/>
            <w:tcBorders>
              <w:top w:val="single" w:color="auto" w:sz="4" w:space="0"/>
              <w:left w:val="single" w:color="auto" w:sz="4" w:space="0"/>
              <w:bottom w:val="single" w:color="auto" w:sz="4" w:space="0"/>
              <w:right w:val="single" w:color="auto" w:sz="4" w:space="0"/>
            </w:tcBorders>
            <w:vAlign w:val="center"/>
          </w:tcPr>
          <w:p w14:paraId="62D6DAC8">
            <w:pPr>
              <w:topLinePunct/>
              <w:spacing w:line="360" w:lineRule="auto"/>
              <w:jc w:val="center"/>
              <w:rPr>
                <w:rFonts w:hint="eastAsia" w:ascii="宋体" w:hAnsi="宋体" w:eastAsia="宋体" w:cs="宋体"/>
                <w:sz w:val="24"/>
                <w:szCs w:val="24"/>
              </w:rPr>
            </w:pPr>
            <w:r>
              <w:rPr>
                <w:rFonts w:hint="eastAsia" w:ascii="宋体" w:hAnsi="宋体" w:eastAsia="宋体" w:cs="宋体"/>
                <w:sz w:val="24"/>
                <w:szCs w:val="24"/>
              </w:rPr>
              <w:t>m</w:t>
            </w:r>
          </w:p>
        </w:tc>
        <w:tc>
          <w:tcPr>
            <w:tcW w:w="1267" w:type="pct"/>
            <w:tcBorders>
              <w:top w:val="single" w:color="auto" w:sz="4" w:space="0"/>
              <w:left w:val="single" w:color="auto" w:sz="4" w:space="0"/>
              <w:bottom w:val="single" w:color="auto" w:sz="4" w:space="0"/>
              <w:right w:val="single" w:color="auto" w:sz="4" w:space="0"/>
            </w:tcBorders>
            <w:vAlign w:val="center"/>
          </w:tcPr>
          <w:p w14:paraId="1A1CC0F9">
            <w:pPr>
              <w:topLinePunct/>
              <w:spacing w:line="360" w:lineRule="auto"/>
              <w:jc w:val="cente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rPr>
              <w:t>000</w:t>
            </w:r>
          </w:p>
        </w:tc>
      </w:tr>
      <w:tr w14:paraId="1E0DA2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787" w:type="pct"/>
            <w:vMerge w:val="restart"/>
            <w:tcBorders>
              <w:top w:val="single" w:color="auto" w:sz="4" w:space="0"/>
              <w:left w:val="single" w:color="auto" w:sz="8" w:space="0"/>
              <w:bottom w:val="single" w:color="auto" w:sz="4" w:space="0"/>
              <w:right w:val="single" w:color="auto" w:sz="4" w:space="0"/>
            </w:tcBorders>
            <w:vAlign w:val="center"/>
          </w:tcPr>
          <w:p w14:paraId="4F97D008">
            <w:pPr>
              <w:topLinePunct/>
              <w:spacing w:line="360" w:lineRule="auto"/>
              <w:jc w:val="center"/>
              <w:rPr>
                <w:rFonts w:hint="eastAsia" w:ascii="宋体" w:hAnsi="宋体" w:eastAsia="宋体" w:cs="宋体"/>
                <w:sz w:val="24"/>
                <w:szCs w:val="24"/>
              </w:rPr>
            </w:pPr>
            <w:r>
              <w:rPr>
                <w:rFonts w:hint="eastAsia" w:ascii="宋体" w:hAnsi="宋体" w:eastAsia="宋体" w:cs="宋体"/>
                <w:sz w:val="24"/>
                <w:szCs w:val="24"/>
              </w:rPr>
              <w:t>4</w:t>
            </w:r>
          </w:p>
        </w:tc>
        <w:tc>
          <w:tcPr>
            <w:tcW w:w="898" w:type="pct"/>
            <w:vMerge w:val="restart"/>
            <w:tcBorders>
              <w:top w:val="single" w:color="auto" w:sz="4" w:space="0"/>
              <w:left w:val="single" w:color="auto" w:sz="4" w:space="0"/>
              <w:bottom w:val="single" w:color="auto" w:sz="4" w:space="0"/>
              <w:right w:val="single" w:color="auto" w:sz="4" w:space="0"/>
            </w:tcBorders>
            <w:vAlign w:val="center"/>
          </w:tcPr>
          <w:p w14:paraId="6C8B9928">
            <w:pPr>
              <w:topLinePunct/>
              <w:spacing w:line="360" w:lineRule="auto"/>
              <w:rPr>
                <w:rFonts w:hint="eastAsia" w:ascii="宋体" w:hAnsi="宋体" w:eastAsia="宋体" w:cs="宋体"/>
                <w:sz w:val="24"/>
                <w:szCs w:val="24"/>
              </w:rPr>
            </w:pPr>
            <w:r>
              <w:rPr>
                <w:rFonts w:hint="eastAsia" w:ascii="宋体" w:hAnsi="宋体" w:eastAsia="宋体" w:cs="宋体"/>
                <w:sz w:val="24"/>
                <w:szCs w:val="24"/>
              </w:rPr>
              <w:t>耐受地震能力</w:t>
            </w:r>
          </w:p>
        </w:tc>
        <w:tc>
          <w:tcPr>
            <w:tcW w:w="1292" w:type="pct"/>
            <w:tcBorders>
              <w:top w:val="single" w:color="auto" w:sz="4" w:space="0"/>
              <w:left w:val="single" w:color="auto" w:sz="4" w:space="0"/>
              <w:bottom w:val="single" w:color="auto" w:sz="4" w:space="0"/>
              <w:right w:val="single" w:color="auto" w:sz="4" w:space="0"/>
            </w:tcBorders>
            <w:vAlign w:val="center"/>
          </w:tcPr>
          <w:p w14:paraId="4FB01C37">
            <w:pPr>
              <w:topLinePunct/>
              <w:spacing w:line="360" w:lineRule="auto"/>
              <w:jc w:val="left"/>
              <w:rPr>
                <w:rFonts w:hint="eastAsia" w:ascii="宋体" w:hAnsi="宋体" w:eastAsia="宋体" w:cs="宋体"/>
                <w:sz w:val="24"/>
                <w:szCs w:val="24"/>
              </w:rPr>
            </w:pPr>
            <w:r>
              <w:rPr>
                <w:rFonts w:hint="eastAsia" w:ascii="宋体" w:hAnsi="宋体" w:eastAsia="宋体" w:cs="宋体"/>
                <w:sz w:val="24"/>
                <w:szCs w:val="24"/>
              </w:rPr>
              <w:t>水平加速度</w:t>
            </w:r>
          </w:p>
        </w:tc>
        <w:tc>
          <w:tcPr>
            <w:tcW w:w="753" w:type="pct"/>
            <w:tcBorders>
              <w:top w:val="single" w:color="auto" w:sz="4" w:space="0"/>
              <w:left w:val="single" w:color="auto" w:sz="4" w:space="0"/>
              <w:bottom w:val="single" w:color="auto" w:sz="4" w:space="0"/>
              <w:right w:val="single" w:color="auto" w:sz="4" w:space="0"/>
            </w:tcBorders>
            <w:vAlign w:val="center"/>
          </w:tcPr>
          <w:p w14:paraId="7F3FDF4E">
            <w:pPr>
              <w:topLinePunct/>
              <w:spacing w:line="360" w:lineRule="auto"/>
              <w:jc w:val="center"/>
              <w:rPr>
                <w:rFonts w:hint="eastAsia" w:ascii="宋体" w:hAnsi="宋体" w:eastAsia="宋体" w:cs="宋体"/>
                <w:sz w:val="24"/>
                <w:szCs w:val="24"/>
              </w:rPr>
            </w:pPr>
            <w:r>
              <w:rPr>
                <w:rFonts w:hint="eastAsia" w:ascii="宋体" w:hAnsi="宋体" w:eastAsia="宋体" w:cs="宋体"/>
                <w:sz w:val="24"/>
                <w:szCs w:val="24"/>
              </w:rPr>
              <w:t>g</w:t>
            </w:r>
          </w:p>
        </w:tc>
        <w:tc>
          <w:tcPr>
            <w:tcW w:w="1267" w:type="pct"/>
            <w:tcBorders>
              <w:top w:val="single" w:color="auto" w:sz="4" w:space="0"/>
              <w:left w:val="single" w:color="auto" w:sz="4" w:space="0"/>
              <w:bottom w:val="single" w:color="auto" w:sz="4" w:space="0"/>
              <w:right w:val="single" w:color="auto" w:sz="4" w:space="0"/>
            </w:tcBorders>
            <w:vAlign w:val="center"/>
          </w:tcPr>
          <w:p w14:paraId="43DC40B7">
            <w:pPr>
              <w:topLinePunct/>
              <w:spacing w:line="360" w:lineRule="auto"/>
              <w:jc w:val="center"/>
              <w:rPr>
                <w:rFonts w:hint="eastAsia" w:ascii="宋体" w:hAnsi="宋体" w:eastAsia="宋体" w:cs="宋体"/>
                <w:sz w:val="24"/>
                <w:szCs w:val="24"/>
              </w:rPr>
            </w:pPr>
            <w:r>
              <w:rPr>
                <w:rFonts w:hint="eastAsia" w:ascii="宋体" w:hAnsi="宋体" w:eastAsia="宋体" w:cs="宋体"/>
                <w:sz w:val="24"/>
                <w:szCs w:val="24"/>
              </w:rPr>
              <w:t>0.3</w:t>
            </w:r>
          </w:p>
        </w:tc>
      </w:tr>
      <w:tr w14:paraId="3756B2C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787" w:type="pct"/>
            <w:vMerge w:val="continue"/>
            <w:tcBorders>
              <w:top w:val="single" w:color="auto" w:sz="4" w:space="0"/>
              <w:left w:val="single" w:color="auto" w:sz="8" w:space="0"/>
              <w:bottom w:val="single" w:color="auto" w:sz="4" w:space="0"/>
              <w:right w:val="single" w:color="auto" w:sz="4" w:space="0"/>
            </w:tcBorders>
            <w:vAlign w:val="center"/>
          </w:tcPr>
          <w:p w14:paraId="6C497B35">
            <w:pPr>
              <w:widowControl/>
              <w:spacing w:line="360" w:lineRule="auto"/>
              <w:jc w:val="left"/>
              <w:rPr>
                <w:rFonts w:hint="eastAsia" w:ascii="宋体" w:hAnsi="宋体" w:eastAsia="宋体" w:cs="宋体"/>
                <w:sz w:val="24"/>
                <w:szCs w:val="24"/>
              </w:rPr>
            </w:pPr>
          </w:p>
        </w:tc>
        <w:tc>
          <w:tcPr>
            <w:tcW w:w="898" w:type="pct"/>
            <w:vMerge w:val="continue"/>
            <w:tcBorders>
              <w:top w:val="single" w:color="auto" w:sz="4" w:space="0"/>
              <w:left w:val="single" w:color="auto" w:sz="4" w:space="0"/>
              <w:bottom w:val="single" w:color="auto" w:sz="4" w:space="0"/>
              <w:right w:val="single" w:color="auto" w:sz="4" w:space="0"/>
            </w:tcBorders>
            <w:vAlign w:val="center"/>
          </w:tcPr>
          <w:p w14:paraId="47C0A6CC">
            <w:pPr>
              <w:widowControl/>
              <w:spacing w:line="360" w:lineRule="auto"/>
              <w:jc w:val="left"/>
              <w:rPr>
                <w:rFonts w:hint="eastAsia" w:ascii="宋体" w:hAnsi="宋体" w:eastAsia="宋体" w:cs="宋体"/>
                <w:sz w:val="24"/>
                <w:szCs w:val="24"/>
              </w:rPr>
            </w:pPr>
          </w:p>
        </w:tc>
        <w:tc>
          <w:tcPr>
            <w:tcW w:w="1292" w:type="pct"/>
            <w:tcBorders>
              <w:top w:val="single" w:color="auto" w:sz="4" w:space="0"/>
              <w:left w:val="single" w:color="auto" w:sz="4" w:space="0"/>
              <w:bottom w:val="single" w:color="auto" w:sz="4" w:space="0"/>
              <w:right w:val="single" w:color="auto" w:sz="4" w:space="0"/>
            </w:tcBorders>
            <w:vAlign w:val="center"/>
          </w:tcPr>
          <w:p w14:paraId="5CC5955C">
            <w:pPr>
              <w:topLinePunct/>
              <w:spacing w:line="360" w:lineRule="auto"/>
              <w:jc w:val="left"/>
              <w:rPr>
                <w:rFonts w:hint="eastAsia" w:ascii="宋体" w:hAnsi="宋体" w:eastAsia="宋体" w:cs="宋体"/>
                <w:sz w:val="24"/>
                <w:szCs w:val="24"/>
              </w:rPr>
            </w:pPr>
            <w:r>
              <w:rPr>
                <w:rFonts w:hint="eastAsia" w:ascii="宋体" w:hAnsi="宋体" w:eastAsia="宋体" w:cs="宋体"/>
                <w:sz w:val="24"/>
                <w:szCs w:val="24"/>
              </w:rPr>
              <w:t>垂直加速度</w:t>
            </w:r>
          </w:p>
        </w:tc>
        <w:tc>
          <w:tcPr>
            <w:tcW w:w="753" w:type="pct"/>
            <w:tcBorders>
              <w:top w:val="single" w:color="auto" w:sz="4" w:space="0"/>
              <w:left w:val="single" w:color="auto" w:sz="4" w:space="0"/>
              <w:bottom w:val="single" w:color="auto" w:sz="4" w:space="0"/>
              <w:right w:val="single" w:color="auto" w:sz="4" w:space="0"/>
            </w:tcBorders>
            <w:vAlign w:val="center"/>
          </w:tcPr>
          <w:p w14:paraId="37149A26">
            <w:pPr>
              <w:topLinePunct/>
              <w:spacing w:line="360" w:lineRule="auto"/>
              <w:jc w:val="center"/>
              <w:rPr>
                <w:rFonts w:hint="eastAsia" w:ascii="宋体" w:hAnsi="宋体" w:eastAsia="宋体" w:cs="宋体"/>
                <w:sz w:val="24"/>
                <w:szCs w:val="24"/>
              </w:rPr>
            </w:pPr>
            <w:r>
              <w:rPr>
                <w:rFonts w:hint="eastAsia" w:ascii="宋体" w:hAnsi="宋体" w:eastAsia="宋体" w:cs="宋体"/>
                <w:sz w:val="24"/>
                <w:szCs w:val="24"/>
              </w:rPr>
              <w:t>g</w:t>
            </w:r>
          </w:p>
        </w:tc>
        <w:tc>
          <w:tcPr>
            <w:tcW w:w="1267" w:type="pct"/>
            <w:tcBorders>
              <w:top w:val="single" w:color="auto" w:sz="4" w:space="0"/>
              <w:left w:val="single" w:color="auto" w:sz="4" w:space="0"/>
              <w:bottom w:val="single" w:color="auto" w:sz="4" w:space="0"/>
              <w:right w:val="single" w:color="auto" w:sz="4" w:space="0"/>
            </w:tcBorders>
            <w:vAlign w:val="center"/>
          </w:tcPr>
          <w:p w14:paraId="6336C383">
            <w:pPr>
              <w:topLinePunct/>
              <w:spacing w:line="360" w:lineRule="auto"/>
              <w:jc w:val="center"/>
              <w:rPr>
                <w:rFonts w:hint="eastAsia" w:ascii="宋体" w:hAnsi="宋体" w:eastAsia="宋体" w:cs="宋体"/>
                <w:sz w:val="24"/>
                <w:szCs w:val="24"/>
              </w:rPr>
            </w:pPr>
            <w:r>
              <w:rPr>
                <w:rFonts w:hint="eastAsia" w:ascii="宋体" w:hAnsi="宋体" w:eastAsia="宋体" w:cs="宋体"/>
                <w:sz w:val="24"/>
                <w:szCs w:val="24"/>
              </w:rPr>
              <w:t>0.15</w:t>
            </w:r>
          </w:p>
        </w:tc>
      </w:tr>
    </w:tbl>
    <w:p w14:paraId="518E1D70">
      <w:pPr>
        <w:spacing w:line="360" w:lineRule="auto"/>
        <w:ind w:firstLine="480" w:firstLineChars="200"/>
        <w:rPr>
          <w:rFonts w:hint="eastAsia" w:ascii="宋体" w:hAnsi="宋体" w:eastAsia="宋体" w:cs="宋体"/>
          <w:sz w:val="24"/>
          <w:szCs w:val="24"/>
        </w:rPr>
      </w:pPr>
    </w:p>
    <w:p w14:paraId="353B7F1F">
      <w:pPr>
        <w:widowControl/>
        <w:spacing w:line="360" w:lineRule="auto"/>
        <w:ind w:firstLine="480" w:firstLineChars="200"/>
        <w:jc w:val="left"/>
        <w:rPr>
          <w:rFonts w:hint="eastAsia" w:ascii="宋体" w:hAnsi="宋体" w:eastAsia="宋体" w:cs="宋体"/>
          <w:sz w:val="24"/>
          <w:szCs w:val="24"/>
        </w:rPr>
      </w:pPr>
    </w:p>
    <w:p w14:paraId="6EC4B281">
      <w:pPr>
        <w:pStyle w:val="2"/>
        <w:rPr>
          <w:rFonts w:hint="eastAsia" w:ascii="宋体" w:hAnsi="宋体" w:eastAsia="宋体" w:cs="宋体"/>
        </w:rPr>
      </w:pPr>
    </w:p>
    <w:p w14:paraId="62EED179">
      <w:pPr>
        <w:widowControl/>
        <w:jc w:val="left"/>
        <w:rPr>
          <w:rFonts w:hint="eastAsia" w:ascii="宋体" w:hAnsi="宋体" w:eastAsia="宋体" w:cs="宋体"/>
        </w:rPr>
        <w:sectPr>
          <w:pgSz w:w="11910" w:h="16840"/>
          <w:pgMar w:top="1340" w:right="1200" w:bottom="1100" w:left="1340" w:header="0" w:footer="919" w:gutter="0"/>
          <w:cols w:space="720" w:num="1"/>
        </w:sectPr>
      </w:pPr>
      <w:bookmarkStart w:id="1" w:name="29、解释权"/>
      <w:bookmarkEnd w:id="1"/>
      <w:bookmarkStart w:id="2" w:name="27、招标代理服务费"/>
      <w:bookmarkEnd w:id="2"/>
      <w:bookmarkStart w:id="3" w:name="一、采购清单"/>
      <w:bookmarkEnd w:id="3"/>
    </w:p>
    <w:p w14:paraId="3946A3CA">
      <w:pPr>
        <w:pStyle w:val="8"/>
        <w:keepNext/>
        <w:keepLines/>
        <w:pageBreakBefore w:val="0"/>
        <w:widowControl w:val="0"/>
        <w:kinsoku/>
        <w:wordWrap/>
        <w:overflowPunct/>
        <w:topLinePunct w:val="0"/>
        <w:autoSpaceDE/>
        <w:autoSpaceDN/>
        <w:bidi w:val="0"/>
        <w:adjustRightInd/>
        <w:snapToGrid/>
        <w:spacing w:before="0" w:after="0" w:line="360" w:lineRule="auto"/>
        <w:ind w:right="2874"/>
        <w:textAlignment w:val="auto"/>
        <w:rPr>
          <w:rFonts w:hint="eastAsia" w:ascii="宋体" w:hAnsi="宋体" w:eastAsia="宋体" w:cs="宋体"/>
          <w:bCs/>
          <w:sz w:val="32"/>
          <w:szCs w:val="32"/>
          <w:lang w:val="en-US"/>
        </w:rPr>
      </w:pPr>
      <w:r>
        <w:rPr>
          <w:rFonts w:hint="eastAsia" w:ascii="宋体" w:hAnsi="宋体" w:eastAsia="宋体" w:cs="宋体"/>
          <w:bCs/>
          <w:sz w:val="32"/>
          <w:szCs w:val="32"/>
          <w:lang w:val="en-US"/>
        </w:rPr>
        <w:t>3、</w:t>
      </w:r>
      <w:r>
        <w:rPr>
          <w:rFonts w:hint="eastAsia" w:ascii="宋体" w:hAnsi="宋体" w:eastAsia="宋体" w:cs="宋体"/>
          <w:bCs/>
          <w:sz w:val="32"/>
          <w:szCs w:val="32"/>
          <w:lang w:val="en-US"/>
        </w:rPr>
        <w:t>直流充电桩</w:t>
      </w:r>
      <w:r>
        <w:rPr>
          <w:rFonts w:hint="eastAsia" w:ascii="宋体" w:hAnsi="宋体" w:eastAsia="宋体" w:cs="宋体"/>
          <w:bCs/>
          <w:sz w:val="32"/>
          <w:szCs w:val="32"/>
          <w:lang w:val="en-US"/>
        </w:rPr>
        <w:t xml:space="preserve">技术要求 </w:t>
      </w:r>
    </w:p>
    <w:p w14:paraId="7AB2DB32">
      <w:pPr>
        <w:pStyle w:val="8"/>
        <w:keepNext/>
        <w:keepLines/>
        <w:pageBreakBefore w:val="0"/>
        <w:widowControl w:val="0"/>
        <w:kinsoku/>
        <w:wordWrap/>
        <w:overflowPunct/>
        <w:topLinePunct w:val="0"/>
        <w:autoSpaceDE/>
        <w:autoSpaceDN/>
        <w:bidi w:val="0"/>
        <w:adjustRightInd/>
        <w:snapToGrid/>
        <w:spacing w:before="0" w:after="0" w:line="360" w:lineRule="auto"/>
        <w:ind w:right="2874"/>
        <w:textAlignment w:val="auto"/>
        <w:rPr>
          <w:rFonts w:hint="eastAsia" w:ascii="宋体" w:hAnsi="宋体" w:eastAsia="宋体" w:cs="宋体"/>
          <w:sz w:val="24"/>
        </w:rPr>
      </w:pPr>
      <w:r>
        <w:rPr>
          <w:rFonts w:hint="eastAsia" w:ascii="宋体" w:hAnsi="宋体" w:eastAsia="宋体" w:cs="宋体"/>
          <w:sz w:val="24"/>
        </w:rPr>
        <w:t>3.1 投标人提供的产品应满足下列国家标准：</w:t>
      </w:r>
    </w:p>
    <w:p w14:paraId="2D25A53A">
      <w:pPr>
        <w:pStyle w:val="2"/>
        <w:keepNext w:val="0"/>
        <w:keepLines w:val="0"/>
        <w:pageBreakBefore w:val="0"/>
        <w:widowControl/>
        <w:kinsoku w:val="0"/>
        <w:wordWrap/>
        <w:overflowPunct w:val="0"/>
        <w:topLinePunct w:val="0"/>
        <w:autoSpaceDE/>
        <w:autoSpaceDN/>
        <w:bidi w:val="0"/>
        <w:adjustRightInd/>
        <w:snapToGrid/>
        <w:spacing w:line="360" w:lineRule="auto"/>
        <w:textAlignment w:val="auto"/>
        <w:rPr>
          <w:rFonts w:hint="eastAsia" w:ascii="宋体" w:hAnsi="宋体" w:eastAsia="宋体" w:cs="宋体"/>
          <w:spacing w:val="-19"/>
        </w:rPr>
      </w:pPr>
      <w:bookmarkStart w:id="4" w:name="OLE_LINK2"/>
      <w:r>
        <w:rPr>
          <w:rFonts w:hint="eastAsia" w:ascii="宋体" w:hAnsi="宋体" w:eastAsia="宋体" w:cs="宋体"/>
        </w:rPr>
        <w:t>（</w:t>
      </w:r>
      <w:r>
        <w:rPr>
          <w:rFonts w:hint="eastAsia" w:ascii="宋体" w:hAnsi="宋体" w:eastAsia="宋体" w:cs="宋体"/>
        </w:rPr>
        <w:t>1</w:t>
      </w:r>
      <w:r>
        <w:rPr>
          <w:rFonts w:hint="eastAsia" w:ascii="宋体" w:hAnsi="宋体" w:eastAsia="宋体" w:cs="宋体"/>
        </w:rPr>
        <w:t>）</w:t>
      </w:r>
      <w:r>
        <w:rPr>
          <w:rFonts w:hint="eastAsia" w:ascii="宋体" w:hAnsi="宋体" w:eastAsia="宋体" w:cs="宋体"/>
        </w:rPr>
        <w:t>GB/T8487.1-2015</w:t>
      </w:r>
      <w:r>
        <w:rPr>
          <w:rFonts w:hint="eastAsia" w:ascii="宋体" w:hAnsi="宋体" w:eastAsia="宋体" w:cs="宋体"/>
        </w:rPr>
        <w:t>《电动汽车传导充电系统</w:t>
      </w:r>
      <w:r>
        <w:rPr>
          <w:rFonts w:hint="eastAsia" w:ascii="宋体" w:hAnsi="宋体" w:eastAsia="宋体" w:cs="宋体"/>
        </w:rPr>
        <w:t xml:space="preserve"> </w:t>
      </w:r>
      <w:r>
        <w:rPr>
          <w:rFonts w:hint="eastAsia" w:ascii="宋体" w:hAnsi="宋体" w:eastAsia="宋体" w:cs="宋体"/>
        </w:rPr>
        <w:t>第</w:t>
      </w:r>
      <w:r>
        <w:rPr>
          <w:rFonts w:hint="eastAsia" w:ascii="宋体" w:hAnsi="宋体" w:eastAsia="宋体" w:cs="宋体"/>
        </w:rPr>
        <w:t xml:space="preserve"> 1</w:t>
      </w:r>
      <w:r>
        <w:rPr>
          <w:rFonts w:hint="eastAsia" w:ascii="宋体" w:hAnsi="宋体" w:eastAsia="宋体" w:cs="宋体"/>
          <w:spacing w:val="-10"/>
        </w:rPr>
        <w:t xml:space="preserve"> </w:t>
      </w:r>
      <w:r>
        <w:rPr>
          <w:rFonts w:hint="eastAsia" w:ascii="宋体" w:hAnsi="宋体" w:eastAsia="宋体" w:cs="宋体"/>
          <w:spacing w:val="-19"/>
        </w:rPr>
        <w:t>部分通用要求》；</w:t>
      </w:r>
    </w:p>
    <w:p w14:paraId="431C0BE6">
      <w:pPr>
        <w:pStyle w:val="2"/>
        <w:keepNext w:val="0"/>
        <w:keepLines w:val="0"/>
        <w:pageBreakBefore w:val="0"/>
        <w:widowControl/>
        <w:kinsoku w:val="0"/>
        <w:wordWrap/>
        <w:overflowPunct w:val="0"/>
        <w:topLinePunct w:val="0"/>
        <w:autoSpaceDE/>
        <w:autoSpaceDN/>
        <w:bidi w:val="0"/>
        <w:adjustRightInd/>
        <w:snapToGrid/>
        <w:spacing w:before="53" w:line="360" w:lineRule="auto"/>
        <w:textAlignment w:val="auto"/>
        <w:rPr>
          <w:rFonts w:hint="eastAsia" w:ascii="宋体" w:hAnsi="宋体" w:eastAsia="宋体" w:cs="宋体"/>
          <w:spacing w:val="-48"/>
        </w:rPr>
      </w:pPr>
      <w:r>
        <w:rPr>
          <w:rFonts w:hint="eastAsia" w:ascii="宋体" w:hAnsi="宋体" w:eastAsia="宋体" w:cs="宋体"/>
          <w:spacing w:val="-3"/>
        </w:rPr>
        <w:t>（</w:t>
      </w:r>
      <w:r>
        <w:rPr>
          <w:rFonts w:hint="eastAsia" w:ascii="宋体" w:hAnsi="宋体" w:eastAsia="宋体" w:cs="宋体"/>
          <w:spacing w:val="-3"/>
        </w:rPr>
        <w:t>2</w:t>
      </w:r>
      <w:r>
        <w:rPr>
          <w:rFonts w:hint="eastAsia" w:ascii="宋体" w:hAnsi="宋体" w:eastAsia="宋体" w:cs="宋体"/>
          <w:spacing w:val="-3"/>
        </w:rPr>
        <w:t>）</w:t>
      </w:r>
      <w:r>
        <w:rPr>
          <w:rFonts w:hint="eastAsia" w:ascii="宋体" w:hAnsi="宋体" w:eastAsia="宋体" w:cs="宋体"/>
          <w:spacing w:val="-3"/>
        </w:rPr>
        <w:t>GB/20234.1-2015</w:t>
      </w:r>
      <w:r>
        <w:rPr>
          <w:rFonts w:hint="eastAsia" w:ascii="宋体" w:hAnsi="宋体" w:eastAsia="宋体" w:cs="宋体"/>
          <w:spacing w:val="-3"/>
        </w:rPr>
        <w:t>《电动汽车传导充电用连接装置第</w:t>
      </w:r>
      <w:r>
        <w:rPr>
          <w:rFonts w:hint="eastAsia" w:ascii="宋体" w:hAnsi="宋体" w:eastAsia="宋体" w:cs="宋体"/>
          <w:spacing w:val="-3"/>
        </w:rPr>
        <w:t xml:space="preserve"> </w:t>
      </w:r>
      <w:r>
        <w:rPr>
          <w:rFonts w:hint="eastAsia" w:ascii="宋体" w:hAnsi="宋体" w:eastAsia="宋体" w:cs="宋体"/>
        </w:rPr>
        <w:t>1</w:t>
      </w:r>
      <w:r>
        <w:rPr>
          <w:rFonts w:hint="eastAsia" w:ascii="宋体" w:hAnsi="宋体" w:eastAsia="宋体" w:cs="宋体"/>
          <w:spacing w:val="37"/>
        </w:rPr>
        <w:t xml:space="preserve"> </w:t>
      </w:r>
      <w:r>
        <w:rPr>
          <w:rFonts w:hint="eastAsia" w:ascii="宋体" w:hAnsi="宋体" w:eastAsia="宋体" w:cs="宋体"/>
          <w:spacing w:val="-7"/>
        </w:rPr>
        <w:t>部分：通用要</w:t>
      </w:r>
      <w:r>
        <w:rPr>
          <w:rFonts w:hint="eastAsia" w:ascii="宋体" w:hAnsi="宋体" w:eastAsia="宋体" w:cs="宋体"/>
          <w:spacing w:val="-48"/>
        </w:rPr>
        <w:t>求》；</w:t>
      </w:r>
    </w:p>
    <w:p w14:paraId="271AC94A">
      <w:pPr>
        <w:pStyle w:val="2"/>
        <w:keepNext w:val="0"/>
        <w:keepLines w:val="0"/>
        <w:pageBreakBefore w:val="0"/>
        <w:widowControl/>
        <w:kinsoku w:val="0"/>
        <w:wordWrap/>
        <w:overflowPunct w:val="0"/>
        <w:topLinePunct w:val="0"/>
        <w:autoSpaceDE/>
        <w:autoSpaceDN/>
        <w:bidi w:val="0"/>
        <w:adjustRightInd/>
        <w:snapToGrid/>
        <w:spacing w:line="360" w:lineRule="auto"/>
        <w:textAlignment w:val="auto"/>
        <w:rPr>
          <w:rFonts w:hint="eastAsia" w:ascii="宋体" w:hAnsi="宋体" w:eastAsia="宋体" w:cs="宋体"/>
          <w:spacing w:val="-25"/>
        </w:rPr>
      </w:pPr>
      <w:r>
        <w:rPr>
          <w:rFonts w:hint="eastAsia" w:ascii="宋体" w:hAnsi="宋体" w:eastAsia="宋体" w:cs="宋体"/>
        </w:rPr>
        <w:t>（</w:t>
      </w:r>
      <w:r>
        <w:rPr>
          <w:rFonts w:hint="eastAsia" w:ascii="宋体" w:hAnsi="宋体" w:eastAsia="宋体" w:cs="宋体"/>
        </w:rPr>
        <w:t>3</w:t>
      </w:r>
      <w:r>
        <w:rPr>
          <w:rFonts w:hint="eastAsia" w:ascii="宋体" w:hAnsi="宋体" w:eastAsia="宋体" w:cs="宋体"/>
        </w:rPr>
        <w:t>）</w:t>
      </w:r>
      <w:r>
        <w:rPr>
          <w:rFonts w:hint="eastAsia" w:ascii="宋体" w:hAnsi="宋体" w:eastAsia="宋体" w:cs="宋体"/>
        </w:rPr>
        <w:t>GB/T20234.3-2015</w:t>
      </w:r>
      <w:r>
        <w:rPr>
          <w:rFonts w:hint="eastAsia" w:ascii="宋体" w:hAnsi="宋体" w:eastAsia="宋体" w:cs="宋体"/>
        </w:rPr>
        <w:t>《电动汽车传导充电用连接装置第</w:t>
      </w:r>
      <w:r>
        <w:rPr>
          <w:rFonts w:hint="eastAsia" w:ascii="宋体" w:hAnsi="宋体" w:eastAsia="宋体" w:cs="宋体"/>
        </w:rPr>
        <w:t xml:space="preserve"> 3</w:t>
      </w:r>
      <w:r>
        <w:rPr>
          <w:rFonts w:hint="eastAsia" w:ascii="宋体" w:hAnsi="宋体" w:eastAsia="宋体" w:cs="宋体"/>
          <w:spacing w:val="37"/>
        </w:rPr>
        <w:t xml:space="preserve"> </w:t>
      </w:r>
      <w:r>
        <w:rPr>
          <w:rFonts w:hint="eastAsia" w:ascii="宋体" w:hAnsi="宋体" w:eastAsia="宋体" w:cs="宋体"/>
        </w:rPr>
        <w:t>部分：直流</w:t>
      </w:r>
      <w:r>
        <w:rPr>
          <w:rFonts w:hint="eastAsia" w:ascii="宋体" w:hAnsi="宋体" w:eastAsia="宋体" w:cs="宋体"/>
          <w:spacing w:val="-25"/>
        </w:rPr>
        <w:t>充电接口》；</w:t>
      </w:r>
    </w:p>
    <w:p w14:paraId="3180C485">
      <w:pPr>
        <w:pStyle w:val="2"/>
        <w:keepNext w:val="0"/>
        <w:keepLines w:val="0"/>
        <w:pageBreakBefore w:val="0"/>
        <w:widowControl/>
        <w:kinsoku w:val="0"/>
        <w:wordWrap/>
        <w:overflowPunct w:val="0"/>
        <w:topLinePunct w:val="0"/>
        <w:autoSpaceDE/>
        <w:autoSpaceDN/>
        <w:bidi w:val="0"/>
        <w:adjustRightInd/>
        <w:snapToGrid/>
        <w:spacing w:line="360" w:lineRule="auto"/>
        <w:textAlignment w:val="auto"/>
        <w:rPr>
          <w:rFonts w:hint="eastAsia" w:ascii="宋体" w:hAnsi="宋体" w:eastAsia="宋体" w:cs="宋体"/>
          <w:spacing w:val="-25"/>
        </w:rPr>
      </w:pPr>
      <w:r>
        <w:rPr>
          <w:rFonts w:hint="eastAsia" w:ascii="宋体" w:hAnsi="宋体" w:eastAsia="宋体" w:cs="宋体"/>
          <w:spacing w:val="-4"/>
        </w:rPr>
        <w:t>（</w:t>
      </w:r>
      <w:r>
        <w:rPr>
          <w:rFonts w:hint="eastAsia" w:ascii="宋体" w:hAnsi="宋体" w:eastAsia="宋体" w:cs="宋体"/>
          <w:spacing w:val="-4"/>
        </w:rPr>
        <w:t>4</w:t>
      </w:r>
      <w:r>
        <w:rPr>
          <w:rFonts w:hint="eastAsia" w:ascii="宋体" w:hAnsi="宋体" w:eastAsia="宋体" w:cs="宋体"/>
          <w:spacing w:val="-4"/>
        </w:rPr>
        <w:t>）</w:t>
      </w:r>
      <w:r>
        <w:rPr>
          <w:rFonts w:hint="eastAsia" w:ascii="宋体" w:hAnsi="宋体" w:eastAsia="宋体" w:cs="宋体"/>
          <w:spacing w:val="-4"/>
        </w:rPr>
        <w:t>GB/T27930-2015</w:t>
      </w:r>
      <w:r>
        <w:rPr>
          <w:rFonts w:hint="eastAsia" w:ascii="宋体" w:hAnsi="宋体" w:eastAsia="宋体" w:cs="宋体"/>
          <w:spacing w:val="-4"/>
        </w:rPr>
        <w:t>《电动汽车非车载传导充电机和电池管理系统之间的</w:t>
      </w:r>
      <w:r>
        <w:rPr>
          <w:rFonts w:hint="eastAsia" w:ascii="宋体" w:hAnsi="宋体" w:eastAsia="宋体" w:cs="宋体"/>
          <w:spacing w:val="-25"/>
        </w:rPr>
        <w:t>通信协议》；</w:t>
      </w:r>
    </w:p>
    <w:p w14:paraId="3896FB57">
      <w:pPr>
        <w:pStyle w:val="2"/>
        <w:keepNext w:val="0"/>
        <w:keepLines w:val="0"/>
        <w:pageBreakBefore w:val="0"/>
        <w:widowControl/>
        <w:kinsoku w:val="0"/>
        <w:wordWrap/>
        <w:overflowPunct w:val="0"/>
        <w:topLinePunct w:val="0"/>
        <w:autoSpaceDE/>
        <w:autoSpaceDN/>
        <w:bidi w:val="0"/>
        <w:adjustRightInd/>
        <w:snapToGrid/>
        <w:spacing w:line="360" w:lineRule="auto"/>
        <w:textAlignment w:val="auto"/>
        <w:rPr>
          <w:rFonts w:hint="eastAsia" w:ascii="宋体" w:hAnsi="宋体" w:eastAsia="宋体" w:cs="宋体"/>
          <w:spacing w:val="-19"/>
        </w:rPr>
      </w:pPr>
      <w:r>
        <w:rPr>
          <w:rFonts w:hint="eastAsia" w:ascii="宋体" w:hAnsi="宋体" w:eastAsia="宋体" w:cs="宋体"/>
        </w:rPr>
        <w:t>（</w:t>
      </w:r>
      <w:r>
        <w:rPr>
          <w:rFonts w:hint="eastAsia" w:ascii="宋体" w:hAnsi="宋体" w:eastAsia="宋体" w:cs="宋体"/>
        </w:rPr>
        <w:t>5</w:t>
      </w:r>
      <w:r>
        <w:rPr>
          <w:rFonts w:hint="eastAsia" w:ascii="宋体" w:hAnsi="宋体" w:eastAsia="宋体" w:cs="宋体"/>
        </w:rPr>
        <w:t>）</w:t>
      </w:r>
      <w:r>
        <w:rPr>
          <w:rFonts w:hint="eastAsia" w:ascii="宋体" w:hAnsi="宋体" w:eastAsia="宋体" w:cs="宋体"/>
        </w:rPr>
        <w:t>GB/T</w:t>
      </w:r>
      <w:r>
        <w:rPr>
          <w:rFonts w:hint="eastAsia" w:ascii="宋体" w:hAnsi="宋体" w:eastAsia="宋体" w:cs="宋体"/>
          <w:spacing w:val="35"/>
        </w:rPr>
        <w:t xml:space="preserve"> </w:t>
      </w:r>
      <w:r>
        <w:rPr>
          <w:rFonts w:hint="eastAsia" w:ascii="宋体" w:hAnsi="宋体" w:eastAsia="宋体" w:cs="宋体"/>
        </w:rPr>
        <w:t>27930-2015</w:t>
      </w:r>
      <w:r>
        <w:rPr>
          <w:rFonts w:hint="eastAsia" w:ascii="宋体" w:hAnsi="宋体" w:eastAsia="宋体" w:cs="宋体"/>
        </w:rPr>
        <w:t>《电动汽车非车载传导式充电机与电池管理系统之</w:t>
      </w:r>
      <w:r>
        <w:rPr>
          <w:rFonts w:hint="eastAsia" w:ascii="宋体" w:hAnsi="宋体" w:eastAsia="宋体" w:cs="宋体"/>
          <w:spacing w:val="-19"/>
        </w:rPr>
        <w:t>间的通信协议》；</w:t>
      </w:r>
    </w:p>
    <w:p w14:paraId="76F281A6">
      <w:pPr>
        <w:pStyle w:val="2"/>
        <w:keepNext w:val="0"/>
        <w:keepLines w:val="0"/>
        <w:pageBreakBefore w:val="0"/>
        <w:widowControl/>
        <w:kinsoku w:val="0"/>
        <w:wordWrap/>
        <w:overflowPunct w:val="0"/>
        <w:topLinePunct w:val="0"/>
        <w:autoSpaceDE/>
        <w:autoSpaceDN/>
        <w:bidi w:val="0"/>
        <w:adjustRightInd/>
        <w:snapToGrid/>
        <w:spacing w:line="360" w:lineRule="auto"/>
        <w:textAlignment w:val="auto"/>
        <w:rPr>
          <w:rFonts w:hint="eastAsia" w:ascii="宋体" w:hAnsi="宋体" w:eastAsia="宋体" w:cs="宋体"/>
          <w:spacing w:val="-6"/>
        </w:rPr>
      </w:pPr>
      <w:r>
        <w:rPr>
          <w:rFonts w:hint="eastAsia" w:ascii="宋体" w:hAnsi="宋体" w:eastAsia="宋体" w:cs="宋体"/>
        </w:rPr>
        <w:t>（</w:t>
      </w:r>
      <w:r>
        <w:rPr>
          <w:rFonts w:hint="eastAsia" w:ascii="宋体" w:hAnsi="宋体" w:eastAsia="宋体" w:cs="宋体"/>
        </w:rPr>
        <w:t>6</w:t>
      </w:r>
      <w:r>
        <w:rPr>
          <w:rFonts w:hint="eastAsia" w:ascii="宋体" w:hAnsi="宋体" w:eastAsia="宋体" w:cs="宋体"/>
        </w:rPr>
        <w:t>）</w:t>
      </w:r>
      <w:r>
        <w:rPr>
          <w:rFonts w:hint="eastAsia" w:ascii="宋体" w:hAnsi="宋体" w:eastAsia="宋体" w:cs="宋体"/>
        </w:rPr>
        <w:t>NB/T</w:t>
      </w:r>
      <w:r>
        <w:rPr>
          <w:rFonts w:hint="eastAsia" w:ascii="宋体" w:hAnsi="宋体" w:eastAsia="宋体" w:cs="宋体"/>
          <w:spacing w:val="19"/>
        </w:rPr>
        <w:t xml:space="preserve"> </w:t>
      </w:r>
      <w:r>
        <w:rPr>
          <w:rFonts w:hint="eastAsia" w:ascii="宋体" w:hAnsi="宋体" w:eastAsia="宋体" w:cs="宋体"/>
          <w:spacing w:val="-6"/>
        </w:rPr>
        <w:t>33001-2018</w:t>
      </w:r>
      <w:r>
        <w:rPr>
          <w:rFonts w:hint="eastAsia" w:ascii="宋体" w:hAnsi="宋体" w:eastAsia="宋体" w:cs="宋体"/>
          <w:spacing w:val="-6"/>
        </w:rPr>
        <w:t>《电动汽车非车载传导式充电机技术条件》；</w:t>
      </w:r>
    </w:p>
    <w:p w14:paraId="04A67488">
      <w:pPr>
        <w:pStyle w:val="2"/>
        <w:keepNext w:val="0"/>
        <w:keepLines w:val="0"/>
        <w:pageBreakBefore w:val="0"/>
        <w:widowControl/>
        <w:kinsoku w:val="0"/>
        <w:wordWrap/>
        <w:overflowPunct w:val="0"/>
        <w:topLinePunct w:val="0"/>
        <w:autoSpaceDE/>
        <w:autoSpaceDN/>
        <w:bidi w:val="0"/>
        <w:adjustRightInd/>
        <w:snapToGrid/>
        <w:spacing w:before="53" w:line="360" w:lineRule="auto"/>
        <w:textAlignment w:val="auto"/>
        <w:rPr>
          <w:rFonts w:hint="eastAsia" w:ascii="宋体" w:hAnsi="宋体" w:eastAsia="宋体" w:cs="宋体"/>
          <w:spacing w:val="-22"/>
        </w:rPr>
      </w:pPr>
      <w:r>
        <w:rPr>
          <w:rFonts w:hint="eastAsia" w:ascii="宋体" w:hAnsi="宋体" w:eastAsia="宋体" w:cs="宋体"/>
        </w:rPr>
        <w:t>（</w:t>
      </w:r>
      <w:r>
        <w:rPr>
          <w:rFonts w:hint="eastAsia" w:ascii="宋体" w:hAnsi="宋体" w:eastAsia="宋体" w:cs="宋体"/>
        </w:rPr>
        <w:t>7</w:t>
      </w:r>
      <w:r>
        <w:rPr>
          <w:rFonts w:hint="eastAsia" w:ascii="宋体" w:hAnsi="宋体" w:eastAsia="宋体" w:cs="宋体"/>
        </w:rPr>
        <w:t>）</w:t>
      </w:r>
      <w:r>
        <w:rPr>
          <w:rFonts w:hint="eastAsia" w:ascii="宋体" w:hAnsi="宋体" w:eastAsia="宋体" w:cs="宋体"/>
        </w:rPr>
        <w:t>NB/T</w:t>
      </w:r>
      <w:r>
        <w:rPr>
          <w:rFonts w:hint="eastAsia" w:ascii="宋体" w:hAnsi="宋体" w:eastAsia="宋体" w:cs="宋体"/>
          <w:spacing w:val="-77"/>
        </w:rPr>
        <w:t xml:space="preserve"> </w:t>
      </w:r>
      <w:r>
        <w:rPr>
          <w:rFonts w:hint="eastAsia" w:ascii="宋体" w:hAnsi="宋体" w:eastAsia="宋体" w:cs="宋体"/>
        </w:rPr>
        <w:t>33008.1-2018</w:t>
      </w:r>
      <w:r>
        <w:rPr>
          <w:rFonts w:hint="eastAsia" w:ascii="宋体" w:hAnsi="宋体" w:eastAsia="宋体" w:cs="宋体"/>
        </w:rPr>
        <w:t>《电动汽车充电设备检验试验规范</w:t>
      </w:r>
      <w:r>
        <w:rPr>
          <w:rFonts w:hint="eastAsia" w:ascii="宋体" w:hAnsi="宋体" w:eastAsia="宋体" w:cs="宋体"/>
          <w:spacing w:val="-11"/>
        </w:rPr>
        <w:t xml:space="preserve"> </w:t>
      </w:r>
      <w:r>
        <w:rPr>
          <w:rFonts w:hint="eastAsia" w:ascii="宋体" w:hAnsi="宋体" w:eastAsia="宋体" w:cs="宋体"/>
        </w:rPr>
        <w:t>第</w:t>
      </w:r>
      <w:r>
        <w:rPr>
          <w:rFonts w:hint="eastAsia" w:ascii="宋体" w:hAnsi="宋体" w:eastAsia="宋体" w:cs="宋体"/>
          <w:spacing w:val="-76"/>
        </w:rPr>
        <w:t xml:space="preserve"> </w:t>
      </w:r>
      <w:r>
        <w:rPr>
          <w:rFonts w:hint="eastAsia" w:ascii="宋体" w:hAnsi="宋体" w:eastAsia="宋体" w:cs="宋体"/>
        </w:rPr>
        <w:t>1</w:t>
      </w:r>
      <w:r>
        <w:rPr>
          <w:rFonts w:hint="eastAsia" w:ascii="宋体" w:hAnsi="宋体" w:eastAsia="宋体" w:cs="宋体"/>
          <w:spacing w:val="-77"/>
        </w:rPr>
        <w:t xml:space="preserve"> </w:t>
      </w:r>
      <w:r>
        <w:rPr>
          <w:rFonts w:hint="eastAsia" w:ascii="宋体" w:hAnsi="宋体" w:eastAsia="宋体" w:cs="宋体"/>
        </w:rPr>
        <w:t>部分：非</w:t>
      </w:r>
      <w:r>
        <w:rPr>
          <w:rFonts w:hint="eastAsia" w:ascii="宋体" w:hAnsi="宋体" w:eastAsia="宋体" w:cs="宋体"/>
          <w:spacing w:val="-22"/>
        </w:rPr>
        <w:t>车载充电机》；</w:t>
      </w:r>
    </w:p>
    <w:p w14:paraId="362002F6">
      <w:pPr>
        <w:pStyle w:val="2"/>
        <w:keepNext w:val="0"/>
        <w:keepLines w:val="0"/>
        <w:pageBreakBefore w:val="0"/>
        <w:widowControl/>
        <w:kinsoku w:val="0"/>
        <w:wordWrap/>
        <w:overflowPunct w:val="0"/>
        <w:topLinePunct w:val="0"/>
        <w:autoSpaceDE/>
        <w:autoSpaceDN/>
        <w:bidi w:val="0"/>
        <w:adjustRightInd/>
        <w:snapToGrid/>
        <w:spacing w:line="360" w:lineRule="auto"/>
        <w:textAlignment w:val="auto"/>
        <w:rPr>
          <w:rFonts w:hint="eastAsia" w:ascii="宋体" w:hAnsi="宋体" w:eastAsia="宋体" w:cs="宋体"/>
          <w:spacing w:val="-13"/>
        </w:rPr>
      </w:pPr>
      <w:r>
        <w:rPr>
          <w:rFonts w:hint="eastAsia" w:ascii="宋体" w:hAnsi="宋体" w:eastAsia="宋体" w:cs="宋体"/>
        </w:rPr>
        <w:t>（</w:t>
      </w:r>
      <w:r>
        <w:rPr>
          <w:rFonts w:hint="eastAsia" w:ascii="宋体" w:hAnsi="宋体" w:eastAsia="宋体" w:cs="宋体"/>
        </w:rPr>
        <w:t>8</w:t>
      </w:r>
      <w:r>
        <w:rPr>
          <w:rFonts w:hint="eastAsia" w:ascii="宋体" w:hAnsi="宋体" w:eastAsia="宋体" w:cs="宋体"/>
        </w:rPr>
        <w:t>）</w:t>
      </w:r>
      <w:r>
        <w:rPr>
          <w:rFonts w:hint="eastAsia" w:ascii="宋体" w:hAnsi="宋体" w:eastAsia="宋体" w:cs="宋体"/>
        </w:rPr>
        <w:t>GB/T</w:t>
      </w:r>
      <w:r>
        <w:rPr>
          <w:rFonts w:hint="eastAsia" w:ascii="宋体" w:hAnsi="宋体" w:eastAsia="宋体" w:cs="宋体"/>
          <w:spacing w:val="41"/>
        </w:rPr>
        <w:t xml:space="preserve"> </w:t>
      </w:r>
      <w:r>
        <w:rPr>
          <w:rFonts w:hint="eastAsia" w:ascii="宋体" w:hAnsi="宋体" w:eastAsia="宋体" w:cs="宋体"/>
        </w:rPr>
        <w:t>34658-2017</w:t>
      </w:r>
      <w:r>
        <w:rPr>
          <w:rFonts w:hint="eastAsia" w:ascii="宋体" w:hAnsi="宋体" w:eastAsia="宋体" w:cs="宋体"/>
        </w:rPr>
        <w:t>《电动汽车非车载传导式充电机与电池管理系统之</w:t>
      </w:r>
      <w:r>
        <w:rPr>
          <w:rFonts w:hint="eastAsia" w:ascii="宋体" w:hAnsi="宋体" w:eastAsia="宋体" w:cs="宋体"/>
          <w:spacing w:val="-13"/>
        </w:rPr>
        <w:t>间的通信协议一致性测试》；</w:t>
      </w:r>
    </w:p>
    <w:p w14:paraId="4C16863C">
      <w:pPr>
        <w:pStyle w:val="2"/>
        <w:keepNext w:val="0"/>
        <w:keepLines w:val="0"/>
        <w:pageBreakBefore w:val="0"/>
        <w:widowControl/>
        <w:kinsoku w:val="0"/>
        <w:wordWrap/>
        <w:overflowPunct w:val="0"/>
        <w:topLinePunct w:val="0"/>
        <w:autoSpaceDE/>
        <w:autoSpaceDN/>
        <w:bidi w:val="0"/>
        <w:adjustRightInd/>
        <w:snapToGrid/>
        <w:spacing w:before="53" w:line="360" w:lineRule="auto"/>
        <w:ind w:right="2874"/>
        <w:textAlignment w:val="auto"/>
        <w:rPr>
          <w:rFonts w:hint="eastAsia" w:ascii="宋体" w:hAnsi="宋体" w:eastAsia="宋体" w:cs="宋体"/>
          <w:spacing w:val="-8"/>
        </w:rPr>
      </w:pPr>
      <w:r>
        <w:rPr>
          <w:rFonts w:hint="eastAsia" w:ascii="宋体" w:hAnsi="宋体" w:eastAsia="宋体" w:cs="宋体"/>
        </w:rPr>
        <w:t>（</w:t>
      </w:r>
      <w:r>
        <w:rPr>
          <w:rFonts w:hint="eastAsia" w:ascii="宋体" w:hAnsi="宋体" w:eastAsia="宋体" w:cs="宋体"/>
        </w:rPr>
        <w:t>9</w:t>
      </w:r>
      <w:r>
        <w:rPr>
          <w:rFonts w:hint="eastAsia" w:ascii="宋体" w:hAnsi="宋体" w:eastAsia="宋体" w:cs="宋体"/>
        </w:rPr>
        <w:t>）</w:t>
      </w:r>
      <w:r>
        <w:rPr>
          <w:rFonts w:hint="eastAsia" w:ascii="宋体" w:hAnsi="宋体" w:eastAsia="宋体" w:cs="宋体"/>
        </w:rPr>
        <w:t>JJG</w:t>
      </w:r>
      <w:r>
        <w:rPr>
          <w:rFonts w:hint="eastAsia" w:ascii="宋体" w:hAnsi="宋体" w:eastAsia="宋体" w:cs="宋体"/>
          <w:spacing w:val="20"/>
        </w:rPr>
        <w:t xml:space="preserve"> </w:t>
      </w:r>
      <w:r>
        <w:rPr>
          <w:rFonts w:hint="eastAsia" w:ascii="宋体" w:hAnsi="宋体" w:eastAsia="宋体" w:cs="宋体"/>
          <w:spacing w:val="-8"/>
        </w:rPr>
        <w:t>1149—2018</w:t>
      </w:r>
      <w:r>
        <w:rPr>
          <w:rFonts w:hint="eastAsia" w:ascii="宋体" w:hAnsi="宋体" w:eastAsia="宋体" w:cs="宋体"/>
          <w:spacing w:val="-8"/>
        </w:rPr>
        <w:t>《电动汽车非车载充电机》；</w:t>
      </w:r>
    </w:p>
    <w:p w14:paraId="65B9ABED">
      <w:pPr>
        <w:pStyle w:val="2"/>
        <w:keepNext w:val="0"/>
        <w:keepLines w:val="0"/>
        <w:pageBreakBefore w:val="0"/>
        <w:widowControl/>
        <w:kinsoku w:val="0"/>
        <w:wordWrap/>
        <w:overflowPunct w:val="0"/>
        <w:topLinePunct w:val="0"/>
        <w:autoSpaceDE/>
        <w:autoSpaceDN/>
        <w:bidi w:val="0"/>
        <w:adjustRightInd/>
        <w:snapToGrid/>
        <w:spacing w:before="53" w:line="360" w:lineRule="auto"/>
        <w:textAlignment w:val="auto"/>
        <w:rPr>
          <w:rFonts w:hint="eastAsia" w:ascii="宋体" w:hAnsi="宋体" w:eastAsia="宋体" w:cs="宋体"/>
          <w:spacing w:val="-11"/>
        </w:rPr>
      </w:pPr>
      <w:r>
        <w:rPr>
          <w:rFonts w:hint="eastAsia" w:ascii="宋体" w:hAnsi="宋体" w:eastAsia="宋体" w:cs="宋体"/>
        </w:rPr>
        <w:t>（</w:t>
      </w:r>
      <w:r>
        <w:rPr>
          <w:rFonts w:hint="eastAsia" w:ascii="宋体" w:hAnsi="宋体" w:eastAsia="宋体" w:cs="宋体"/>
        </w:rPr>
        <w:t>10</w:t>
      </w:r>
      <w:r>
        <w:rPr>
          <w:rFonts w:hint="eastAsia" w:ascii="宋体" w:hAnsi="宋体" w:eastAsia="宋体" w:cs="宋体"/>
        </w:rPr>
        <w:t>）</w:t>
      </w:r>
      <w:r>
        <w:rPr>
          <w:rFonts w:hint="eastAsia" w:ascii="宋体" w:hAnsi="宋体" w:eastAsia="宋体" w:cs="宋体"/>
        </w:rPr>
        <w:t>GB/T</w:t>
      </w:r>
      <w:r>
        <w:rPr>
          <w:rFonts w:hint="eastAsia" w:ascii="宋体" w:hAnsi="宋体" w:eastAsia="宋体" w:cs="宋体"/>
          <w:spacing w:val="-76"/>
        </w:rPr>
        <w:t xml:space="preserve"> </w:t>
      </w:r>
      <w:r>
        <w:rPr>
          <w:rFonts w:hint="eastAsia" w:ascii="宋体" w:hAnsi="宋体" w:eastAsia="宋体" w:cs="宋体"/>
        </w:rPr>
        <w:t>17626.11—2008</w:t>
      </w:r>
      <w:r>
        <w:rPr>
          <w:rFonts w:hint="eastAsia" w:ascii="宋体" w:hAnsi="宋体" w:eastAsia="宋体" w:cs="宋体"/>
        </w:rPr>
        <w:t>《电磁兼容试验和测量技术电压暂降、短时</w:t>
      </w:r>
      <w:r>
        <w:rPr>
          <w:rFonts w:hint="eastAsia" w:ascii="宋体" w:hAnsi="宋体" w:eastAsia="宋体" w:cs="宋体"/>
        </w:rPr>
        <w:t xml:space="preserve"> </w:t>
      </w:r>
      <w:r>
        <w:rPr>
          <w:rFonts w:hint="eastAsia" w:ascii="宋体" w:hAnsi="宋体" w:eastAsia="宋体" w:cs="宋体"/>
          <w:spacing w:val="-11"/>
        </w:rPr>
        <w:t>中断和电压变化的抗扰度试验》；</w:t>
      </w:r>
    </w:p>
    <w:p w14:paraId="68FC9B71">
      <w:pPr>
        <w:pStyle w:val="2"/>
        <w:keepNext w:val="0"/>
        <w:keepLines w:val="0"/>
        <w:pageBreakBefore w:val="0"/>
        <w:widowControl/>
        <w:kinsoku w:val="0"/>
        <w:wordWrap/>
        <w:overflowPunct w:val="0"/>
        <w:topLinePunct w:val="0"/>
        <w:autoSpaceDE/>
        <w:autoSpaceDN/>
        <w:bidi w:val="0"/>
        <w:adjustRightInd/>
        <w:snapToGrid/>
        <w:spacing w:line="360" w:lineRule="auto"/>
        <w:textAlignment w:val="auto"/>
        <w:rPr>
          <w:rFonts w:hint="eastAsia" w:ascii="宋体" w:hAnsi="宋体" w:eastAsia="宋体" w:cs="宋体"/>
          <w:spacing w:val="-36"/>
        </w:rPr>
      </w:pPr>
      <w:r>
        <w:rPr>
          <w:rFonts w:hint="eastAsia" w:ascii="宋体" w:hAnsi="宋体" w:eastAsia="宋体" w:cs="宋体"/>
        </w:rPr>
        <w:t>（</w:t>
      </w:r>
      <w:r>
        <w:rPr>
          <w:rFonts w:hint="eastAsia" w:ascii="宋体" w:hAnsi="宋体" w:eastAsia="宋体" w:cs="宋体"/>
        </w:rPr>
        <w:t>11</w:t>
      </w:r>
      <w:r>
        <w:rPr>
          <w:rFonts w:hint="eastAsia" w:ascii="宋体" w:hAnsi="宋体" w:eastAsia="宋体" w:cs="宋体"/>
        </w:rPr>
        <w:t>）</w:t>
      </w:r>
      <w:r>
        <w:rPr>
          <w:rFonts w:hint="eastAsia" w:ascii="宋体" w:hAnsi="宋体" w:eastAsia="宋体" w:cs="宋体"/>
        </w:rPr>
        <w:t>GB/T 17626.2—2006</w:t>
      </w:r>
      <w:r>
        <w:rPr>
          <w:rFonts w:hint="eastAsia" w:ascii="宋体" w:hAnsi="宋体" w:eastAsia="宋体" w:cs="宋体"/>
        </w:rPr>
        <w:t>《电磁兼容试验和测量技术静电放电抗扰度</w:t>
      </w:r>
      <w:r>
        <w:rPr>
          <w:rFonts w:hint="eastAsia" w:ascii="宋体" w:hAnsi="宋体" w:eastAsia="宋体" w:cs="宋体"/>
          <w:spacing w:val="-36"/>
        </w:rPr>
        <w:t>试验》；</w:t>
      </w:r>
    </w:p>
    <w:p w14:paraId="77F6DEE4">
      <w:pPr>
        <w:pStyle w:val="2"/>
        <w:keepNext w:val="0"/>
        <w:keepLines w:val="0"/>
        <w:pageBreakBefore w:val="0"/>
        <w:widowControl/>
        <w:kinsoku w:val="0"/>
        <w:wordWrap/>
        <w:overflowPunct w:val="0"/>
        <w:topLinePunct w:val="0"/>
        <w:autoSpaceDE/>
        <w:autoSpaceDN/>
        <w:bidi w:val="0"/>
        <w:adjustRightInd/>
        <w:snapToGrid/>
        <w:spacing w:line="360" w:lineRule="auto"/>
        <w:textAlignment w:val="auto"/>
        <w:rPr>
          <w:rFonts w:hint="eastAsia" w:ascii="宋体" w:hAnsi="宋体" w:eastAsia="宋体" w:cs="宋体"/>
          <w:spacing w:val="-22"/>
        </w:rPr>
      </w:pPr>
      <w:r>
        <w:rPr>
          <w:rFonts w:hint="eastAsia" w:ascii="宋体" w:hAnsi="宋体" w:eastAsia="宋体" w:cs="宋体"/>
        </w:rPr>
        <w:t>（</w:t>
      </w:r>
      <w:r>
        <w:rPr>
          <w:rFonts w:hint="eastAsia" w:ascii="宋体" w:hAnsi="宋体" w:eastAsia="宋体" w:cs="宋体"/>
        </w:rPr>
        <w:t>12</w:t>
      </w:r>
      <w:r>
        <w:rPr>
          <w:rFonts w:hint="eastAsia" w:ascii="宋体" w:hAnsi="宋体" w:eastAsia="宋体" w:cs="宋体"/>
        </w:rPr>
        <w:t>）</w:t>
      </w:r>
      <w:r>
        <w:rPr>
          <w:rFonts w:hint="eastAsia" w:ascii="宋体" w:hAnsi="宋体" w:eastAsia="宋体" w:cs="宋体"/>
        </w:rPr>
        <w:t>GB/T 17626.3—2006</w:t>
      </w:r>
      <w:r>
        <w:rPr>
          <w:rFonts w:hint="eastAsia" w:ascii="宋体" w:hAnsi="宋体" w:eastAsia="宋体" w:cs="宋体"/>
        </w:rPr>
        <w:t>《电磁兼容试验和测量技术射频电磁场辐射</w:t>
      </w:r>
      <w:r>
        <w:rPr>
          <w:rFonts w:hint="eastAsia" w:ascii="宋体" w:hAnsi="宋体" w:eastAsia="宋体" w:cs="宋体"/>
          <w:spacing w:val="-22"/>
        </w:rPr>
        <w:t>抗扰度试验》；</w:t>
      </w:r>
    </w:p>
    <w:p w14:paraId="4E5D71C8">
      <w:pPr>
        <w:pStyle w:val="2"/>
        <w:keepNext w:val="0"/>
        <w:keepLines w:val="0"/>
        <w:pageBreakBefore w:val="0"/>
        <w:widowControl/>
        <w:kinsoku w:val="0"/>
        <w:wordWrap/>
        <w:overflowPunct w:val="0"/>
        <w:topLinePunct w:val="0"/>
        <w:autoSpaceDE/>
        <w:autoSpaceDN/>
        <w:bidi w:val="0"/>
        <w:adjustRightInd/>
        <w:snapToGrid/>
        <w:spacing w:line="360" w:lineRule="auto"/>
        <w:textAlignment w:val="auto"/>
        <w:rPr>
          <w:rFonts w:hint="eastAsia" w:ascii="宋体" w:hAnsi="宋体" w:eastAsia="宋体" w:cs="宋体"/>
          <w:spacing w:val="-19"/>
        </w:rPr>
      </w:pPr>
      <w:r>
        <w:rPr>
          <w:rFonts w:hint="eastAsia" w:ascii="宋体" w:hAnsi="宋体" w:eastAsia="宋体" w:cs="宋体"/>
        </w:rPr>
        <w:t>（</w:t>
      </w:r>
      <w:r>
        <w:rPr>
          <w:rFonts w:hint="eastAsia" w:ascii="宋体" w:hAnsi="宋体" w:eastAsia="宋体" w:cs="宋体"/>
        </w:rPr>
        <w:t>13</w:t>
      </w:r>
      <w:r>
        <w:rPr>
          <w:rFonts w:hint="eastAsia" w:ascii="宋体" w:hAnsi="宋体" w:eastAsia="宋体" w:cs="宋体"/>
        </w:rPr>
        <w:t>）</w:t>
      </w:r>
      <w:r>
        <w:rPr>
          <w:rFonts w:hint="eastAsia" w:ascii="宋体" w:hAnsi="宋体" w:eastAsia="宋体" w:cs="宋体"/>
        </w:rPr>
        <w:t>GB/T 17626.4—2008</w:t>
      </w:r>
      <w:r>
        <w:rPr>
          <w:rFonts w:hint="eastAsia" w:ascii="宋体" w:hAnsi="宋体" w:eastAsia="宋体" w:cs="宋体"/>
        </w:rPr>
        <w:t>《电磁兼容试验和测量技术电快速瞬变群脉</w:t>
      </w:r>
      <w:r>
        <w:rPr>
          <w:rFonts w:hint="eastAsia" w:ascii="宋体" w:hAnsi="宋体" w:eastAsia="宋体" w:cs="宋体"/>
          <w:spacing w:val="-19"/>
        </w:rPr>
        <w:t>冲抗扰度试验》；</w:t>
      </w:r>
    </w:p>
    <w:p w14:paraId="33C1BDFD">
      <w:pPr>
        <w:pStyle w:val="2"/>
        <w:keepNext w:val="0"/>
        <w:keepLines w:val="0"/>
        <w:pageBreakBefore w:val="0"/>
        <w:widowControl/>
        <w:kinsoku w:val="0"/>
        <w:wordWrap/>
        <w:overflowPunct w:val="0"/>
        <w:topLinePunct w:val="0"/>
        <w:autoSpaceDE/>
        <w:autoSpaceDN/>
        <w:bidi w:val="0"/>
        <w:adjustRightInd/>
        <w:snapToGrid/>
        <w:spacing w:line="360" w:lineRule="auto"/>
        <w:textAlignment w:val="auto"/>
        <w:rPr>
          <w:rFonts w:hint="eastAsia" w:ascii="宋体" w:hAnsi="宋体" w:eastAsia="宋体" w:cs="宋体"/>
          <w:spacing w:val="-25"/>
        </w:rPr>
      </w:pPr>
      <w:r>
        <w:rPr>
          <w:rFonts w:hint="eastAsia" w:ascii="宋体" w:hAnsi="宋体" w:eastAsia="宋体" w:cs="宋体"/>
        </w:rPr>
        <w:t>（</w:t>
      </w:r>
      <w:r>
        <w:rPr>
          <w:rFonts w:hint="eastAsia" w:ascii="宋体" w:hAnsi="宋体" w:eastAsia="宋体" w:cs="宋体"/>
        </w:rPr>
        <w:t>14</w:t>
      </w:r>
      <w:r>
        <w:rPr>
          <w:rFonts w:hint="eastAsia" w:ascii="宋体" w:hAnsi="宋体" w:eastAsia="宋体" w:cs="宋体"/>
        </w:rPr>
        <w:t>）</w:t>
      </w:r>
      <w:r>
        <w:rPr>
          <w:rFonts w:hint="eastAsia" w:ascii="宋体" w:hAnsi="宋体" w:eastAsia="宋体" w:cs="宋体"/>
        </w:rPr>
        <w:t>GB/T 17626.5—2008</w:t>
      </w:r>
      <w:r>
        <w:rPr>
          <w:rFonts w:hint="eastAsia" w:ascii="宋体" w:hAnsi="宋体" w:eastAsia="宋体" w:cs="宋体"/>
        </w:rPr>
        <w:t>《电磁兼容</w:t>
      </w:r>
      <w:r>
        <w:rPr>
          <w:rFonts w:hint="eastAsia" w:ascii="宋体" w:hAnsi="宋体" w:eastAsia="宋体" w:cs="宋体"/>
        </w:rPr>
        <w:t xml:space="preserve"> </w:t>
      </w:r>
      <w:r>
        <w:rPr>
          <w:rFonts w:hint="eastAsia" w:ascii="宋体" w:hAnsi="宋体" w:eastAsia="宋体" w:cs="宋体"/>
        </w:rPr>
        <w:t>试验和测量技术浪涌（冲击）抗</w:t>
      </w:r>
      <w:r>
        <w:rPr>
          <w:rFonts w:hint="eastAsia" w:ascii="宋体" w:hAnsi="宋体" w:eastAsia="宋体" w:cs="宋体"/>
          <w:spacing w:val="-25"/>
        </w:rPr>
        <w:t>扰度试验》；</w:t>
      </w:r>
    </w:p>
    <w:p w14:paraId="21F52414">
      <w:pPr>
        <w:pStyle w:val="2"/>
        <w:keepNext w:val="0"/>
        <w:keepLines w:val="0"/>
        <w:pageBreakBefore w:val="0"/>
        <w:widowControl/>
        <w:kinsoku w:val="0"/>
        <w:wordWrap/>
        <w:overflowPunct w:val="0"/>
        <w:topLinePunct w:val="0"/>
        <w:autoSpaceDE/>
        <w:autoSpaceDN/>
        <w:bidi w:val="0"/>
        <w:adjustRightInd/>
        <w:snapToGrid/>
        <w:spacing w:line="360" w:lineRule="auto"/>
        <w:textAlignment w:val="auto"/>
        <w:rPr>
          <w:rFonts w:hint="eastAsia" w:ascii="宋体" w:hAnsi="宋体" w:eastAsia="宋体" w:cs="宋体"/>
          <w:spacing w:val="-9"/>
        </w:rPr>
      </w:pPr>
      <w:r>
        <w:rPr>
          <w:rFonts w:hint="eastAsia" w:ascii="宋体" w:hAnsi="宋体" w:eastAsia="宋体" w:cs="宋体"/>
        </w:rPr>
        <w:t>（</w:t>
      </w:r>
      <w:r>
        <w:rPr>
          <w:rFonts w:hint="eastAsia" w:ascii="宋体" w:hAnsi="宋体" w:eastAsia="宋体" w:cs="宋体"/>
        </w:rPr>
        <w:t>15</w:t>
      </w:r>
      <w:r>
        <w:rPr>
          <w:rFonts w:hint="eastAsia" w:ascii="宋体" w:hAnsi="宋体" w:eastAsia="宋体" w:cs="宋体"/>
        </w:rPr>
        <w:t>）</w:t>
      </w:r>
      <w:r>
        <w:rPr>
          <w:rFonts w:hint="eastAsia" w:ascii="宋体" w:hAnsi="宋体" w:eastAsia="宋体" w:cs="宋体"/>
        </w:rPr>
        <w:t>GB/Z 17625.6—2003</w:t>
      </w:r>
      <w:r>
        <w:rPr>
          <w:rFonts w:hint="eastAsia" w:ascii="宋体" w:hAnsi="宋体" w:eastAsia="宋体" w:cs="宋体"/>
        </w:rPr>
        <w:t>《电磁兼容限值对额定电流大于</w:t>
      </w:r>
      <w:r>
        <w:rPr>
          <w:rFonts w:hint="eastAsia" w:ascii="宋体" w:hAnsi="宋体" w:eastAsia="宋体" w:cs="宋体"/>
        </w:rPr>
        <w:t>16A</w:t>
      </w:r>
      <w:r>
        <w:rPr>
          <w:rFonts w:hint="eastAsia" w:ascii="宋体" w:hAnsi="宋体" w:eastAsia="宋体" w:cs="宋体"/>
          <w:spacing w:val="-103"/>
        </w:rPr>
        <w:t xml:space="preserve"> </w:t>
      </w:r>
      <w:r>
        <w:rPr>
          <w:rFonts w:hint="eastAsia" w:ascii="宋体" w:hAnsi="宋体" w:eastAsia="宋体" w:cs="宋体"/>
        </w:rPr>
        <w:t>的设备在</w:t>
      </w:r>
      <w:r>
        <w:rPr>
          <w:rFonts w:hint="eastAsia" w:ascii="宋体" w:hAnsi="宋体" w:eastAsia="宋体" w:cs="宋体"/>
          <w:spacing w:val="-9"/>
        </w:rPr>
        <w:t>低压供电系统中产生的谐波电流的限制》；</w:t>
      </w:r>
    </w:p>
    <w:p w14:paraId="74800050">
      <w:pPr>
        <w:pStyle w:val="2"/>
        <w:keepNext w:val="0"/>
        <w:keepLines w:val="0"/>
        <w:pageBreakBefore w:val="0"/>
        <w:widowControl/>
        <w:kinsoku w:val="0"/>
        <w:wordWrap/>
        <w:overflowPunct w:val="0"/>
        <w:topLinePunct w:val="0"/>
        <w:autoSpaceDE/>
        <w:autoSpaceDN/>
        <w:bidi w:val="0"/>
        <w:adjustRightInd/>
        <w:snapToGrid/>
        <w:spacing w:line="360" w:lineRule="auto"/>
        <w:textAlignment w:val="auto"/>
        <w:rPr>
          <w:rFonts w:hint="eastAsia" w:ascii="宋体" w:hAnsi="宋体" w:eastAsia="宋体" w:cs="宋体"/>
          <w:spacing w:val="-11"/>
        </w:rPr>
      </w:pPr>
      <w:r>
        <w:rPr>
          <w:rFonts w:hint="eastAsia" w:ascii="宋体" w:hAnsi="宋体" w:eastAsia="宋体" w:cs="宋体"/>
        </w:rPr>
        <w:t>（</w:t>
      </w:r>
      <w:r>
        <w:rPr>
          <w:rFonts w:hint="eastAsia" w:ascii="宋体" w:hAnsi="宋体" w:eastAsia="宋体" w:cs="宋体"/>
        </w:rPr>
        <w:t>16</w:t>
      </w:r>
      <w:r>
        <w:rPr>
          <w:rFonts w:hint="eastAsia" w:ascii="宋体" w:hAnsi="宋体" w:eastAsia="宋体" w:cs="宋体"/>
        </w:rPr>
        <w:t>）</w:t>
      </w:r>
      <w:r>
        <w:rPr>
          <w:rFonts w:hint="eastAsia" w:ascii="宋体" w:hAnsi="宋体" w:eastAsia="宋体" w:cs="宋体"/>
        </w:rPr>
        <w:t>GB/T</w:t>
      </w:r>
      <w:r>
        <w:rPr>
          <w:rFonts w:hint="eastAsia" w:ascii="宋体" w:hAnsi="宋体" w:eastAsia="宋体" w:cs="宋体"/>
          <w:spacing w:val="-76"/>
        </w:rPr>
        <w:t xml:space="preserve"> </w:t>
      </w:r>
      <w:r>
        <w:rPr>
          <w:rFonts w:hint="eastAsia" w:ascii="宋体" w:hAnsi="宋体" w:eastAsia="宋体" w:cs="宋体"/>
        </w:rPr>
        <w:t>17626.11—2008</w:t>
      </w:r>
      <w:r>
        <w:rPr>
          <w:rFonts w:hint="eastAsia" w:ascii="宋体" w:hAnsi="宋体" w:eastAsia="宋体" w:cs="宋体"/>
        </w:rPr>
        <w:t>《电磁兼容</w:t>
      </w:r>
      <w:r>
        <w:rPr>
          <w:rFonts w:hint="eastAsia" w:ascii="宋体" w:hAnsi="宋体" w:eastAsia="宋体" w:cs="宋体"/>
          <w:spacing w:val="-12"/>
        </w:rPr>
        <w:t xml:space="preserve"> </w:t>
      </w:r>
      <w:r>
        <w:rPr>
          <w:rFonts w:hint="eastAsia" w:ascii="宋体" w:hAnsi="宋体" w:eastAsia="宋体" w:cs="宋体"/>
        </w:rPr>
        <w:t>试验和测量技术电压暂降、短时</w:t>
      </w:r>
      <w:r>
        <w:rPr>
          <w:rFonts w:hint="eastAsia" w:ascii="宋体" w:hAnsi="宋体" w:eastAsia="宋体" w:cs="宋体"/>
          <w:spacing w:val="-11"/>
        </w:rPr>
        <w:t>中断和电压变化的抗扰度试验》。</w:t>
      </w:r>
    </w:p>
    <w:bookmarkEnd w:id="4"/>
    <w:p w14:paraId="674122C1">
      <w:pPr>
        <w:pStyle w:val="8"/>
        <w:keepNext/>
        <w:keepLines/>
        <w:pageBreakBefore w:val="0"/>
        <w:widowControl w:val="0"/>
        <w:kinsoku/>
        <w:wordWrap/>
        <w:overflowPunct/>
        <w:topLinePunct w:val="0"/>
        <w:autoSpaceDE/>
        <w:autoSpaceDN/>
        <w:bidi w:val="0"/>
        <w:adjustRightInd/>
        <w:snapToGrid/>
        <w:spacing w:before="0" w:after="0" w:line="360" w:lineRule="auto"/>
        <w:ind w:right="2874"/>
        <w:textAlignment w:val="auto"/>
        <w:rPr>
          <w:rFonts w:hint="eastAsia" w:ascii="宋体" w:hAnsi="宋体" w:eastAsia="宋体" w:cs="宋体"/>
          <w:b/>
          <w:bCs/>
          <w:sz w:val="28"/>
          <w:szCs w:val="28"/>
        </w:rPr>
      </w:pPr>
      <w:bookmarkStart w:id="5" w:name="2._环境条件"/>
      <w:bookmarkEnd w:id="5"/>
      <w:r>
        <w:rPr>
          <w:rFonts w:hint="eastAsia" w:ascii="宋体" w:hAnsi="宋体" w:eastAsia="宋体" w:cs="宋体"/>
          <w:sz w:val="24"/>
        </w:rPr>
        <w:t>3.2  30</w:t>
      </w:r>
      <w:r>
        <w:rPr>
          <w:rFonts w:hint="eastAsia" w:ascii="宋体" w:hAnsi="宋体" w:eastAsia="宋体" w:cs="宋体"/>
          <w:sz w:val="24"/>
        </w:rPr>
        <w:t>k</w:t>
      </w:r>
      <w:r>
        <w:rPr>
          <w:rFonts w:hint="eastAsia" w:ascii="宋体" w:hAnsi="宋体" w:eastAsia="宋体" w:cs="宋体"/>
          <w:sz w:val="24"/>
        </w:rPr>
        <w:t>W</w:t>
      </w:r>
      <w:r>
        <w:rPr>
          <w:rFonts w:hint="eastAsia" w:ascii="宋体" w:hAnsi="宋体" w:eastAsia="宋体" w:cs="宋体"/>
          <w:sz w:val="24"/>
        </w:rPr>
        <w:t>一体式单枪直流充电桩技术参数</w:t>
      </w:r>
    </w:p>
    <w:p w14:paraId="3C147944">
      <w:pPr>
        <w:spacing w:line="360" w:lineRule="auto"/>
        <w:ind w:firstLine="562" w:firstLineChars="200"/>
        <w:jc w:val="center"/>
        <w:rPr>
          <w:rFonts w:hint="eastAsia" w:ascii="宋体" w:hAnsi="宋体" w:eastAsia="宋体" w:cs="宋体"/>
          <w:sz w:val="28"/>
          <w:szCs w:val="28"/>
        </w:rPr>
      </w:pPr>
      <w:r>
        <w:rPr>
          <w:rFonts w:hint="eastAsia" w:ascii="宋体" w:hAnsi="宋体" w:eastAsia="宋体" w:cs="宋体"/>
          <w:b/>
          <w:bCs/>
          <w:sz w:val="28"/>
          <w:szCs w:val="28"/>
        </w:rPr>
        <w:t>3</w:t>
      </w:r>
      <w:r>
        <w:rPr>
          <w:rFonts w:hint="eastAsia" w:ascii="宋体" w:hAnsi="宋体" w:eastAsia="宋体" w:cs="宋体"/>
          <w:b/>
          <w:bCs/>
          <w:sz w:val="28"/>
          <w:szCs w:val="28"/>
        </w:rPr>
        <w:t>0kW</w:t>
      </w:r>
      <w:r>
        <w:rPr>
          <w:rFonts w:hint="eastAsia" w:ascii="宋体" w:hAnsi="宋体" w:eastAsia="宋体" w:cs="宋体"/>
          <w:b/>
          <w:bCs/>
          <w:spacing w:val="-85"/>
          <w:sz w:val="28"/>
          <w:szCs w:val="28"/>
        </w:rPr>
        <w:t xml:space="preserve"> </w:t>
      </w:r>
      <w:r>
        <w:rPr>
          <w:rFonts w:hint="eastAsia" w:ascii="宋体" w:hAnsi="宋体" w:eastAsia="宋体" w:cs="宋体"/>
          <w:b/>
          <w:bCs/>
          <w:sz w:val="28"/>
          <w:szCs w:val="28"/>
        </w:rPr>
        <w:t>单枪直流一体式充电机参数指标</w:t>
      </w:r>
    </w:p>
    <w:tbl>
      <w:tblPr>
        <w:tblStyle w:val="38"/>
        <w:tblW w:w="9705" w:type="dxa"/>
        <w:tblInd w:w="-106" w:type="dxa"/>
        <w:tblLayout w:type="fixed"/>
        <w:tblCellMar>
          <w:top w:w="0" w:type="dxa"/>
          <w:left w:w="0" w:type="dxa"/>
          <w:bottom w:w="0" w:type="dxa"/>
          <w:right w:w="0" w:type="dxa"/>
        </w:tblCellMar>
      </w:tblPr>
      <w:tblGrid>
        <w:gridCol w:w="1020"/>
        <w:gridCol w:w="2955"/>
        <w:gridCol w:w="1035"/>
        <w:gridCol w:w="4695"/>
      </w:tblGrid>
      <w:tr w14:paraId="377E7579">
        <w:tblPrEx>
          <w:tblCellMar>
            <w:top w:w="0" w:type="dxa"/>
            <w:left w:w="0" w:type="dxa"/>
            <w:bottom w:w="0" w:type="dxa"/>
            <w:right w:w="0" w:type="dxa"/>
          </w:tblCellMar>
        </w:tblPrEx>
        <w:trPr>
          <w:trHeight w:val="645" w:hRule="exact"/>
        </w:trPr>
        <w:tc>
          <w:tcPr>
            <w:tcW w:w="1020" w:type="dxa"/>
            <w:tcBorders>
              <w:top w:val="single" w:color="000000" w:sz="4" w:space="0"/>
              <w:left w:val="single" w:color="000000" w:sz="4" w:space="0"/>
              <w:bottom w:val="single" w:color="000000" w:sz="4" w:space="0"/>
              <w:right w:val="single" w:color="000000" w:sz="4" w:space="0"/>
            </w:tcBorders>
            <w:vAlign w:val="center"/>
          </w:tcPr>
          <w:p w14:paraId="1B329BE8">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序号</w:t>
            </w:r>
          </w:p>
        </w:tc>
        <w:tc>
          <w:tcPr>
            <w:tcW w:w="2955" w:type="dxa"/>
            <w:tcBorders>
              <w:top w:val="single" w:color="000000" w:sz="4" w:space="0"/>
              <w:left w:val="single" w:color="000000" w:sz="4" w:space="0"/>
              <w:bottom w:val="single" w:color="000000" w:sz="4" w:space="0"/>
              <w:right w:val="single" w:color="000000" w:sz="4" w:space="0"/>
            </w:tcBorders>
            <w:vAlign w:val="center"/>
          </w:tcPr>
          <w:p w14:paraId="06FCE0EA">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项目</w:t>
            </w:r>
          </w:p>
        </w:tc>
        <w:tc>
          <w:tcPr>
            <w:tcW w:w="1035" w:type="dxa"/>
            <w:tcBorders>
              <w:top w:val="single" w:color="000000" w:sz="4" w:space="0"/>
              <w:left w:val="single" w:color="000000" w:sz="4" w:space="0"/>
              <w:bottom w:val="single" w:color="000000" w:sz="4" w:space="0"/>
              <w:right w:val="single" w:color="000000" w:sz="4" w:space="0"/>
            </w:tcBorders>
            <w:vAlign w:val="center"/>
          </w:tcPr>
          <w:p w14:paraId="3EB552A8">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单位</w:t>
            </w:r>
          </w:p>
        </w:tc>
        <w:tc>
          <w:tcPr>
            <w:tcW w:w="4695" w:type="dxa"/>
            <w:tcBorders>
              <w:top w:val="single" w:color="000000" w:sz="4" w:space="0"/>
              <w:left w:val="single" w:color="000000" w:sz="4" w:space="0"/>
              <w:bottom w:val="single" w:color="000000" w:sz="4" w:space="0"/>
              <w:right w:val="single" w:color="000000" w:sz="4" w:space="0"/>
            </w:tcBorders>
            <w:vAlign w:val="center"/>
          </w:tcPr>
          <w:p w14:paraId="295D8F93">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参数要求</w:t>
            </w:r>
          </w:p>
        </w:tc>
      </w:tr>
      <w:tr w14:paraId="292D975F">
        <w:tblPrEx>
          <w:tblCellMar>
            <w:top w:w="0" w:type="dxa"/>
            <w:left w:w="0" w:type="dxa"/>
            <w:bottom w:w="0" w:type="dxa"/>
            <w:right w:w="0" w:type="dxa"/>
          </w:tblCellMar>
        </w:tblPrEx>
        <w:trPr>
          <w:trHeight w:val="534" w:hRule="exact"/>
        </w:trPr>
        <w:tc>
          <w:tcPr>
            <w:tcW w:w="1020" w:type="dxa"/>
            <w:tcBorders>
              <w:top w:val="single" w:color="000000" w:sz="4" w:space="0"/>
              <w:left w:val="single" w:color="000000" w:sz="4" w:space="0"/>
              <w:bottom w:val="single" w:color="000000" w:sz="4" w:space="0"/>
              <w:right w:val="single" w:color="000000" w:sz="4" w:space="0"/>
            </w:tcBorders>
            <w:vAlign w:val="center"/>
          </w:tcPr>
          <w:p w14:paraId="33D61A5E">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1</w:t>
            </w:r>
          </w:p>
        </w:tc>
        <w:tc>
          <w:tcPr>
            <w:tcW w:w="2955" w:type="dxa"/>
            <w:tcBorders>
              <w:top w:val="single" w:color="000000" w:sz="4" w:space="0"/>
              <w:left w:val="single" w:color="000000" w:sz="4" w:space="0"/>
              <w:bottom w:val="single" w:color="000000" w:sz="4" w:space="0"/>
              <w:right w:val="single" w:color="000000" w:sz="4" w:space="0"/>
            </w:tcBorders>
            <w:vAlign w:val="center"/>
          </w:tcPr>
          <w:p w14:paraId="08846BFE">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lang w:eastAsia="zh-CN"/>
              </w:rPr>
              <w:t>额定功率</w:t>
            </w:r>
          </w:p>
        </w:tc>
        <w:tc>
          <w:tcPr>
            <w:tcW w:w="1035" w:type="dxa"/>
            <w:tcBorders>
              <w:top w:val="single" w:color="000000" w:sz="4" w:space="0"/>
              <w:left w:val="single" w:color="000000" w:sz="4" w:space="0"/>
              <w:bottom w:val="single" w:color="000000" w:sz="4" w:space="0"/>
              <w:right w:val="single" w:color="000000" w:sz="4" w:space="0"/>
            </w:tcBorders>
            <w:vAlign w:val="center"/>
          </w:tcPr>
          <w:p w14:paraId="706D6A38">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lang w:eastAsia="zh-CN"/>
              </w:rPr>
              <w:t>k</w:t>
            </w:r>
            <w:r>
              <w:rPr>
                <w:rFonts w:hint="eastAsia" w:ascii="宋体" w:hAnsi="宋体" w:eastAsia="宋体" w:cs="宋体"/>
                <w:sz w:val="24"/>
                <w:szCs w:val="24"/>
              </w:rPr>
              <w:t>W</w:t>
            </w:r>
          </w:p>
        </w:tc>
        <w:tc>
          <w:tcPr>
            <w:tcW w:w="4695" w:type="dxa"/>
            <w:tcBorders>
              <w:top w:val="single" w:color="000000" w:sz="4" w:space="0"/>
              <w:left w:val="single" w:color="000000" w:sz="4" w:space="0"/>
              <w:bottom w:val="single" w:color="000000" w:sz="4" w:space="0"/>
              <w:right w:val="single" w:color="000000" w:sz="4" w:space="0"/>
            </w:tcBorders>
            <w:vAlign w:val="center"/>
          </w:tcPr>
          <w:p w14:paraId="38AAC38E">
            <w:pPr>
              <w:pStyle w:val="343"/>
              <w:kinsoku w:val="0"/>
              <w:overflowPunct w:val="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3</w:t>
            </w:r>
            <w:r>
              <w:rPr>
                <w:rFonts w:hint="eastAsia" w:ascii="宋体" w:hAnsi="宋体" w:eastAsia="宋体" w:cs="宋体"/>
                <w:sz w:val="24"/>
                <w:szCs w:val="24"/>
                <w:lang w:eastAsia="zh-CN"/>
              </w:rPr>
              <w:t>0</w:t>
            </w:r>
          </w:p>
        </w:tc>
      </w:tr>
      <w:tr w14:paraId="07DFA474">
        <w:tblPrEx>
          <w:tblCellMar>
            <w:top w:w="0" w:type="dxa"/>
            <w:left w:w="0" w:type="dxa"/>
            <w:bottom w:w="0" w:type="dxa"/>
            <w:right w:w="0" w:type="dxa"/>
          </w:tblCellMar>
        </w:tblPrEx>
        <w:trPr>
          <w:trHeight w:val="571" w:hRule="exact"/>
        </w:trPr>
        <w:tc>
          <w:tcPr>
            <w:tcW w:w="1020" w:type="dxa"/>
            <w:tcBorders>
              <w:top w:val="single" w:color="000000" w:sz="4" w:space="0"/>
              <w:left w:val="single" w:color="000000" w:sz="4" w:space="0"/>
              <w:bottom w:val="single" w:color="000000" w:sz="4" w:space="0"/>
              <w:right w:val="single" w:color="000000" w:sz="4" w:space="0"/>
            </w:tcBorders>
            <w:vAlign w:val="center"/>
          </w:tcPr>
          <w:p w14:paraId="3BB2D18D">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2</w:t>
            </w:r>
          </w:p>
        </w:tc>
        <w:tc>
          <w:tcPr>
            <w:tcW w:w="2955" w:type="dxa"/>
            <w:tcBorders>
              <w:top w:val="single" w:color="000000" w:sz="4" w:space="0"/>
              <w:left w:val="single" w:color="000000" w:sz="4" w:space="0"/>
              <w:bottom w:val="single" w:color="000000" w:sz="4" w:space="0"/>
              <w:right w:val="single" w:color="000000" w:sz="4" w:space="0"/>
            </w:tcBorders>
            <w:vAlign w:val="center"/>
          </w:tcPr>
          <w:p w14:paraId="70DD6A3E">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lang w:eastAsia="zh-CN"/>
              </w:rPr>
              <w:t>枪数</w:t>
            </w:r>
          </w:p>
        </w:tc>
        <w:tc>
          <w:tcPr>
            <w:tcW w:w="1035" w:type="dxa"/>
            <w:tcBorders>
              <w:top w:val="single" w:color="000000" w:sz="4" w:space="0"/>
              <w:left w:val="single" w:color="000000" w:sz="4" w:space="0"/>
              <w:bottom w:val="single" w:color="000000" w:sz="4" w:space="0"/>
              <w:right w:val="single" w:color="000000" w:sz="4" w:space="0"/>
            </w:tcBorders>
            <w:vAlign w:val="center"/>
          </w:tcPr>
          <w:p w14:paraId="4639AAAD">
            <w:pPr>
              <w:pStyle w:val="343"/>
              <w:kinsoku w:val="0"/>
              <w:overflowPunct w:val="0"/>
              <w:ind w:right="1"/>
              <w:jc w:val="center"/>
              <w:rPr>
                <w:rFonts w:hint="eastAsia" w:ascii="宋体" w:hAnsi="宋体" w:eastAsia="宋体" w:cs="宋体"/>
                <w:sz w:val="24"/>
                <w:szCs w:val="24"/>
              </w:rPr>
            </w:pPr>
            <w:r>
              <w:rPr>
                <w:rFonts w:hint="eastAsia" w:ascii="宋体" w:hAnsi="宋体" w:eastAsia="宋体" w:cs="宋体"/>
                <w:sz w:val="24"/>
                <w:szCs w:val="24"/>
                <w:lang w:eastAsia="zh-CN"/>
              </w:rPr>
              <w:t>条</w:t>
            </w:r>
          </w:p>
        </w:tc>
        <w:tc>
          <w:tcPr>
            <w:tcW w:w="4695" w:type="dxa"/>
            <w:tcBorders>
              <w:top w:val="single" w:color="000000" w:sz="4" w:space="0"/>
              <w:left w:val="single" w:color="000000" w:sz="4" w:space="0"/>
              <w:bottom w:val="single" w:color="000000" w:sz="4" w:space="0"/>
              <w:right w:val="single" w:color="000000" w:sz="4" w:space="0"/>
            </w:tcBorders>
            <w:vAlign w:val="center"/>
          </w:tcPr>
          <w:p w14:paraId="4B68DE27">
            <w:pPr>
              <w:pStyle w:val="343"/>
              <w:kinsoku w:val="0"/>
              <w:overflowPunct w:val="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1</w:t>
            </w:r>
          </w:p>
        </w:tc>
      </w:tr>
      <w:tr w14:paraId="432FB129">
        <w:tblPrEx>
          <w:tblCellMar>
            <w:top w:w="0" w:type="dxa"/>
            <w:left w:w="0" w:type="dxa"/>
            <w:bottom w:w="0" w:type="dxa"/>
            <w:right w:w="0" w:type="dxa"/>
          </w:tblCellMar>
        </w:tblPrEx>
        <w:trPr>
          <w:trHeight w:val="585" w:hRule="exact"/>
        </w:trPr>
        <w:tc>
          <w:tcPr>
            <w:tcW w:w="1020" w:type="dxa"/>
            <w:tcBorders>
              <w:top w:val="single" w:color="000000" w:sz="4" w:space="0"/>
              <w:left w:val="single" w:color="000000" w:sz="4" w:space="0"/>
              <w:bottom w:val="single" w:color="000000" w:sz="4" w:space="0"/>
              <w:right w:val="single" w:color="000000" w:sz="4" w:space="0"/>
            </w:tcBorders>
            <w:vAlign w:val="center"/>
          </w:tcPr>
          <w:p w14:paraId="036A9834">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3</w:t>
            </w:r>
          </w:p>
        </w:tc>
        <w:tc>
          <w:tcPr>
            <w:tcW w:w="2955" w:type="dxa"/>
            <w:tcBorders>
              <w:top w:val="single" w:color="000000" w:sz="4" w:space="0"/>
              <w:left w:val="single" w:color="000000" w:sz="4" w:space="0"/>
              <w:bottom w:val="single" w:color="000000" w:sz="4" w:space="0"/>
              <w:right w:val="single" w:color="000000" w:sz="4" w:space="0"/>
            </w:tcBorders>
            <w:vAlign w:val="center"/>
          </w:tcPr>
          <w:p w14:paraId="209E3A8F">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lang w:eastAsia="zh-CN"/>
              </w:rPr>
              <w:t>枪线长度</w:t>
            </w:r>
          </w:p>
        </w:tc>
        <w:tc>
          <w:tcPr>
            <w:tcW w:w="1035" w:type="dxa"/>
            <w:tcBorders>
              <w:top w:val="single" w:color="000000" w:sz="4" w:space="0"/>
              <w:left w:val="single" w:color="000000" w:sz="4" w:space="0"/>
              <w:bottom w:val="single" w:color="000000" w:sz="4" w:space="0"/>
              <w:right w:val="single" w:color="000000" w:sz="4" w:space="0"/>
            </w:tcBorders>
            <w:vAlign w:val="center"/>
          </w:tcPr>
          <w:p w14:paraId="2F1E97B9">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lang w:eastAsia="zh-CN"/>
              </w:rPr>
              <w:t>米</w:t>
            </w:r>
          </w:p>
        </w:tc>
        <w:tc>
          <w:tcPr>
            <w:tcW w:w="4695" w:type="dxa"/>
            <w:tcBorders>
              <w:top w:val="single" w:color="000000" w:sz="4" w:space="0"/>
              <w:left w:val="single" w:color="000000" w:sz="4" w:space="0"/>
              <w:bottom w:val="single" w:color="000000" w:sz="4" w:space="0"/>
              <w:right w:val="single" w:color="000000" w:sz="4" w:space="0"/>
            </w:tcBorders>
            <w:vAlign w:val="center"/>
          </w:tcPr>
          <w:p w14:paraId="19CA32AA">
            <w:pPr>
              <w:pStyle w:val="343"/>
              <w:kinsoku w:val="0"/>
              <w:overflowPunct w:val="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5</w:t>
            </w:r>
          </w:p>
        </w:tc>
      </w:tr>
      <w:tr w14:paraId="12DD23DF">
        <w:tblPrEx>
          <w:tblCellMar>
            <w:top w:w="0" w:type="dxa"/>
            <w:left w:w="0" w:type="dxa"/>
            <w:bottom w:w="0" w:type="dxa"/>
            <w:right w:w="0" w:type="dxa"/>
          </w:tblCellMar>
        </w:tblPrEx>
        <w:trPr>
          <w:trHeight w:val="544" w:hRule="exact"/>
        </w:trPr>
        <w:tc>
          <w:tcPr>
            <w:tcW w:w="1020" w:type="dxa"/>
            <w:tcBorders>
              <w:top w:val="single" w:color="000000" w:sz="4" w:space="0"/>
              <w:left w:val="single" w:color="000000" w:sz="4" w:space="0"/>
              <w:bottom w:val="single" w:color="000000" w:sz="4" w:space="0"/>
              <w:right w:val="single" w:color="000000" w:sz="4" w:space="0"/>
            </w:tcBorders>
            <w:vAlign w:val="center"/>
          </w:tcPr>
          <w:p w14:paraId="02ECE7C3">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4</w:t>
            </w:r>
          </w:p>
        </w:tc>
        <w:tc>
          <w:tcPr>
            <w:tcW w:w="2955" w:type="dxa"/>
            <w:tcBorders>
              <w:top w:val="single" w:color="000000" w:sz="4" w:space="0"/>
              <w:left w:val="single" w:color="000000" w:sz="4" w:space="0"/>
              <w:bottom w:val="single" w:color="000000" w:sz="4" w:space="0"/>
              <w:right w:val="single" w:color="000000" w:sz="4" w:space="0"/>
            </w:tcBorders>
            <w:vAlign w:val="center"/>
          </w:tcPr>
          <w:p w14:paraId="57E65832">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lang w:eastAsia="zh-CN"/>
              </w:rPr>
              <w:t>散热方式</w:t>
            </w:r>
          </w:p>
        </w:tc>
        <w:tc>
          <w:tcPr>
            <w:tcW w:w="1035" w:type="dxa"/>
            <w:tcBorders>
              <w:top w:val="single" w:color="000000" w:sz="4" w:space="0"/>
              <w:left w:val="single" w:color="000000" w:sz="4" w:space="0"/>
              <w:bottom w:val="single" w:color="000000" w:sz="4" w:space="0"/>
              <w:right w:val="single" w:color="000000" w:sz="4" w:space="0"/>
            </w:tcBorders>
            <w:vAlign w:val="center"/>
          </w:tcPr>
          <w:p w14:paraId="060E4E2D">
            <w:pPr>
              <w:pStyle w:val="343"/>
              <w:kinsoku w:val="0"/>
              <w:overflowPunct w:val="0"/>
              <w:ind w:right="1"/>
              <w:jc w:val="center"/>
              <w:rPr>
                <w:rFonts w:hint="eastAsia" w:ascii="宋体" w:hAnsi="宋体" w:eastAsia="宋体" w:cs="宋体"/>
                <w:sz w:val="24"/>
                <w:szCs w:val="24"/>
              </w:rPr>
            </w:pPr>
          </w:p>
        </w:tc>
        <w:tc>
          <w:tcPr>
            <w:tcW w:w="4695" w:type="dxa"/>
            <w:tcBorders>
              <w:top w:val="single" w:color="000000" w:sz="4" w:space="0"/>
              <w:left w:val="single" w:color="000000" w:sz="4" w:space="0"/>
              <w:bottom w:val="single" w:color="000000" w:sz="4" w:space="0"/>
              <w:right w:val="single" w:color="000000" w:sz="4" w:space="0"/>
            </w:tcBorders>
            <w:vAlign w:val="center"/>
          </w:tcPr>
          <w:p w14:paraId="1383EA00">
            <w:pPr>
              <w:pStyle w:val="343"/>
              <w:kinsoku w:val="0"/>
              <w:overflowPunct w:val="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智能风冷</w:t>
            </w:r>
          </w:p>
        </w:tc>
      </w:tr>
      <w:tr w14:paraId="5599A626">
        <w:tblPrEx>
          <w:tblCellMar>
            <w:top w:w="0" w:type="dxa"/>
            <w:left w:w="0" w:type="dxa"/>
            <w:bottom w:w="0" w:type="dxa"/>
            <w:right w:w="0" w:type="dxa"/>
          </w:tblCellMar>
        </w:tblPrEx>
        <w:trPr>
          <w:trHeight w:val="553" w:hRule="exact"/>
        </w:trPr>
        <w:tc>
          <w:tcPr>
            <w:tcW w:w="1020" w:type="dxa"/>
            <w:tcBorders>
              <w:top w:val="single" w:color="000000" w:sz="4" w:space="0"/>
              <w:left w:val="single" w:color="000000" w:sz="4" w:space="0"/>
              <w:bottom w:val="single" w:color="000000" w:sz="4" w:space="0"/>
              <w:right w:val="single" w:color="000000" w:sz="4" w:space="0"/>
            </w:tcBorders>
            <w:vAlign w:val="center"/>
          </w:tcPr>
          <w:p w14:paraId="2AB41057">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5</w:t>
            </w:r>
          </w:p>
        </w:tc>
        <w:tc>
          <w:tcPr>
            <w:tcW w:w="2955" w:type="dxa"/>
            <w:tcBorders>
              <w:top w:val="single" w:color="000000" w:sz="4" w:space="0"/>
              <w:left w:val="single" w:color="000000" w:sz="4" w:space="0"/>
              <w:bottom w:val="single" w:color="000000" w:sz="4" w:space="0"/>
              <w:right w:val="single" w:color="000000" w:sz="4" w:space="0"/>
            </w:tcBorders>
            <w:vAlign w:val="center"/>
          </w:tcPr>
          <w:p w14:paraId="18D14BD7">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交流输入电压</w:t>
            </w:r>
          </w:p>
        </w:tc>
        <w:tc>
          <w:tcPr>
            <w:tcW w:w="1035" w:type="dxa"/>
            <w:tcBorders>
              <w:top w:val="single" w:color="000000" w:sz="4" w:space="0"/>
              <w:left w:val="single" w:color="000000" w:sz="4" w:space="0"/>
              <w:bottom w:val="single" w:color="000000" w:sz="4" w:space="0"/>
              <w:right w:val="single" w:color="000000" w:sz="4" w:space="0"/>
            </w:tcBorders>
            <w:vAlign w:val="center"/>
          </w:tcPr>
          <w:p w14:paraId="4CBFF5D1">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V</w:t>
            </w:r>
          </w:p>
        </w:tc>
        <w:tc>
          <w:tcPr>
            <w:tcW w:w="4695" w:type="dxa"/>
            <w:tcBorders>
              <w:top w:val="single" w:color="000000" w:sz="4" w:space="0"/>
              <w:left w:val="single" w:color="000000" w:sz="4" w:space="0"/>
              <w:bottom w:val="single" w:color="000000" w:sz="4" w:space="0"/>
              <w:right w:val="single" w:color="000000" w:sz="4" w:space="0"/>
            </w:tcBorders>
            <w:vAlign w:val="center"/>
          </w:tcPr>
          <w:p w14:paraId="25AB8F3E">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380±15％</w:t>
            </w:r>
          </w:p>
        </w:tc>
      </w:tr>
      <w:tr w14:paraId="0DAE0428">
        <w:tblPrEx>
          <w:tblCellMar>
            <w:top w:w="0" w:type="dxa"/>
            <w:left w:w="0" w:type="dxa"/>
            <w:bottom w:w="0" w:type="dxa"/>
            <w:right w:w="0" w:type="dxa"/>
          </w:tblCellMar>
        </w:tblPrEx>
        <w:trPr>
          <w:trHeight w:val="640" w:hRule="exact"/>
        </w:trPr>
        <w:tc>
          <w:tcPr>
            <w:tcW w:w="1020" w:type="dxa"/>
            <w:tcBorders>
              <w:top w:val="single" w:color="000000" w:sz="4" w:space="0"/>
              <w:left w:val="single" w:color="000000" w:sz="4" w:space="0"/>
              <w:bottom w:val="single" w:color="000000" w:sz="4" w:space="0"/>
              <w:right w:val="single" w:color="000000" w:sz="4" w:space="0"/>
            </w:tcBorders>
            <w:vAlign w:val="center"/>
          </w:tcPr>
          <w:p w14:paraId="5754FE03">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6</w:t>
            </w:r>
          </w:p>
        </w:tc>
        <w:tc>
          <w:tcPr>
            <w:tcW w:w="2955" w:type="dxa"/>
            <w:tcBorders>
              <w:top w:val="single" w:color="000000" w:sz="4" w:space="0"/>
              <w:left w:val="single" w:color="000000" w:sz="4" w:space="0"/>
              <w:bottom w:val="single" w:color="000000" w:sz="4" w:space="0"/>
              <w:right w:val="single" w:color="000000" w:sz="4" w:space="0"/>
            </w:tcBorders>
            <w:vAlign w:val="center"/>
          </w:tcPr>
          <w:p w14:paraId="6B68529D">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交流电源频率</w:t>
            </w:r>
          </w:p>
        </w:tc>
        <w:tc>
          <w:tcPr>
            <w:tcW w:w="1035" w:type="dxa"/>
            <w:tcBorders>
              <w:top w:val="single" w:color="000000" w:sz="4" w:space="0"/>
              <w:left w:val="single" w:color="000000" w:sz="4" w:space="0"/>
              <w:bottom w:val="single" w:color="000000" w:sz="4" w:space="0"/>
              <w:right w:val="single" w:color="000000" w:sz="4" w:space="0"/>
            </w:tcBorders>
            <w:vAlign w:val="center"/>
          </w:tcPr>
          <w:p w14:paraId="275D99E5">
            <w:pPr>
              <w:jc w:val="center"/>
              <w:rPr>
                <w:rFonts w:hint="eastAsia" w:ascii="宋体" w:hAnsi="宋体" w:eastAsia="宋体" w:cs="宋体"/>
                <w:sz w:val="24"/>
                <w:szCs w:val="24"/>
              </w:rPr>
            </w:pPr>
            <w:r>
              <w:rPr>
                <w:rFonts w:hint="eastAsia" w:ascii="宋体" w:hAnsi="宋体" w:eastAsia="宋体" w:cs="宋体"/>
                <w:sz w:val="24"/>
                <w:szCs w:val="24"/>
              </w:rPr>
              <w:t>Hz</w:t>
            </w:r>
          </w:p>
        </w:tc>
        <w:tc>
          <w:tcPr>
            <w:tcW w:w="4695" w:type="dxa"/>
            <w:tcBorders>
              <w:top w:val="single" w:color="000000" w:sz="4" w:space="0"/>
              <w:left w:val="single" w:color="000000" w:sz="4" w:space="0"/>
              <w:bottom w:val="single" w:color="000000" w:sz="4" w:space="0"/>
              <w:right w:val="single" w:color="000000" w:sz="4" w:space="0"/>
            </w:tcBorders>
            <w:vAlign w:val="center"/>
          </w:tcPr>
          <w:p w14:paraId="60CC4D7C">
            <w:pPr>
              <w:pStyle w:val="343"/>
              <w:kinsoku w:val="0"/>
              <w:overflowPunct w:val="0"/>
              <w:spacing w:line="361" w:lineRule="exact"/>
              <w:jc w:val="center"/>
              <w:rPr>
                <w:rFonts w:hint="eastAsia" w:ascii="宋体" w:hAnsi="宋体" w:eastAsia="宋体" w:cs="宋体"/>
                <w:sz w:val="24"/>
                <w:szCs w:val="24"/>
              </w:rPr>
            </w:pPr>
            <w:r>
              <w:rPr>
                <w:rFonts w:hint="eastAsia" w:ascii="宋体" w:hAnsi="宋体" w:eastAsia="宋体" w:cs="宋体"/>
                <w:sz w:val="24"/>
                <w:szCs w:val="24"/>
              </w:rPr>
              <w:t>50±</w:t>
            </w:r>
            <w:r>
              <w:rPr>
                <w:rFonts w:hint="eastAsia" w:ascii="宋体" w:hAnsi="宋体" w:eastAsia="宋体" w:cs="宋体"/>
                <w:sz w:val="24"/>
                <w:szCs w:val="24"/>
              </w:rPr>
              <w:t>1</w:t>
            </w:r>
          </w:p>
        </w:tc>
      </w:tr>
      <w:tr w14:paraId="2DD5F26F">
        <w:tblPrEx>
          <w:tblCellMar>
            <w:top w:w="0" w:type="dxa"/>
            <w:left w:w="0" w:type="dxa"/>
            <w:bottom w:w="0" w:type="dxa"/>
            <w:right w:w="0" w:type="dxa"/>
          </w:tblCellMar>
        </w:tblPrEx>
        <w:trPr>
          <w:trHeight w:val="681" w:hRule="exact"/>
        </w:trPr>
        <w:tc>
          <w:tcPr>
            <w:tcW w:w="1020" w:type="dxa"/>
            <w:tcBorders>
              <w:top w:val="single" w:color="000000" w:sz="4" w:space="0"/>
              <w:left w:val="single" w:color="000000" w:sz="4" w:space="0"/>
              <w:bottom w:val="single" w:color="000000" w:sz="4" w:space="0"/>
              <w:right w:val="single" w:color="000000" w:sz="4" w:space="0"/>
            </w:tcBorders>
            <w:vAlign w:val="center"/>
          </w:tcPr>
          <w:p w14:paraId="1A91572A">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7</w:t>
            </w:r>
          </w:p>
        </w:tc>
        <w:tc>
          <w:tcPr>
            <w:tcW w:w="2955" w:type="dxa"/>
            <w:tcBorders>
              <w:top w:val="single" w:color="000000" w:sz="4" w:space="0"/>
              <w:left w:val="single" w:color="000000" w:sz="4" w:space="0"/>
              <w:bottom w:val="single" w:color="000000" w:sz="4" w:space="0"/>
              <w:right w:val="single" w:color="000000" w:sz="4" w:space="0"/>
            </w:tcBorders>
            <w:vAlign w:val="center"/>
          </w:tcPr>
          <w:p w14:paraId="7DFDF8A8">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直流电压调节范围</w:t>
            </w:r>
          </w:p>
        </w:tc>
        <w:tc>
          <w:tcPr>
            <w:tcW w:w="1035" w:type="dxa"/>
            <w:tcBorders>
              <w:top w:val="single" w:color="000000" w:sz="4" w:space="0"/>
              <w:left w:val="single" w:color="000000" w:sz="4" w:space="0"/>
              <w:bottom w:val="single" w:color="000000" w:sz="4" w:space="0"/>
              <w:right w:val="single" w:color="000000" w:sz="4" w:space="0"/>
            </w:tcBorders>
            <w:vAlign w:val="center"/>
          </w:tcPr>
          <w:p w14:paraId="75620F69">
            <w:pPr>
              <w:jc w:val="center"/>
              <w:rPr>
                <w:rFonts w:hint="eastAsia" w:ascii="宋体" w:hAnsi="宋体" w:eastAsia="宋体" w:cs="宋体"/>
                <w:sz w:val="24"/>
                <w:szCs w:val="24"/>
              </w:rPr>
            </w:pPr>
            <w:r>
              <w:rPr>
                <w:rFonts w:hint="eastAsia" w:ascii="宋体" w:hAnsi="宋体" w:eastAsia="宋体" w:cs="宋体"/>
                <w:sz w:val="24"/>
                <w:szCs w:val="24"/>
              </w:rPr>
              <w:t>V</w:t>
            </w:r>
          </w:p>
        </w:tc>
        <w:tc>
          <w:tcPr>
            <w:tcW w:w="4695" w:type="dxa"/>
            <w:tcBorders>
              <w:top w:val="single" w:color="000000" w:sz="4" w:space="0"/>
              <w:left w:val="single" w:color="000000" w:sz="4" w:space="0"/>
              <w:bottom w:val="single" w:color="000000" w:sz="4" w:space="0"/>
              <w:right w:val="single" w:color="000000" w:sz="4" w:space="0"/>
            </w:tcBorders>
            <w:vAlign w:val="center"/>
          </w:tcPr>
          <w:p w14:paraId="5CC7C934">
            <w:pPr>
              <w:pStyle w:val="343"/>
              <w:kinsoku w:val="0"/>
              <w:overflowPunct w:val="0"/>
              <w:spacing w:line="361" w:lineRule="exact"/>
              <w:jc w:val="center"/>
              <w:rPr>
                <w:rFonts w:hint="eastAsia" w:ascii="宋体" w:hAnsi="宋体" w:eastAsia="宋体" w:cs="宋体"/>
                <w:sz w:val="24"/>
                <w:szCs w:val="24"/>
                <w:lang w:eastAsia="zh-CN"/>
              </w:rPr>
            </w:pPr>
            <w:r>
              <w:rPr>
                <w:rFonts w:hint="eastAsia" w:ascii="宋体" w:hAnsi="宋体" w:eastAsia="宋体" w:cs="宋体"/>
                <w:sz w:val="24"/>
                <w:szCs w:val="24"/>
              </w:rPr>
              <w:t>200-1000V</w:t>
            </w:r>
          </w:p>
        </w:tc>
      </w:tr>
      <w:tr w14:paraId="488409D2">
        <w:tblPrEx>
          <w:tblCellMar>
            <w:top w:w="0" w:type="dxa"/>
            <w:left w:w="0" w:type="dxa"/>
            <w:bottom w:w="0" w:type="dxa"/>
            <w:right w:w="0" w:type="dxa"/>
          </w:tblCellMar>
        </w:tblPrEx>
        <w:trPr>
          <w:trHeight w:val="578" w:hRule="exact"/>
        </w:trPr>
        <w:tc>
          <w:tcPr>
            <w:tcW w:w="1020" w:type="dxa"/>
            <w:tcBorders>
              <w:top w:val="single" w:color="000000" w:sz="4" w:space="0"/>
              <w:left w:val="single" w:color="000000" w:sz="4" w:space="0"/>
              <w:bottom w:val="single" w:color="000000" w:sz="4" w:space="0"/>
              <w:right w:val="single" w:color="000000" w:sz="4" w:space="0"/>
            </w:tcBorders>
            <w:vAlign w:val="center"/>
          </w:tcPr>
          <w:p w14:paraId="267047DE">
            <w:pPr>
              <w:pStyle w:val="343"/>
              <w:kinsoku w:val="0"/>
              <w:overflowPunct w:val="0"/>
              <w:jc w:val="center"/>
              <w:rPr>
                <w:rFonts w:hint="eastAsia" w:ascii="宋体" w:hAnsi="宋体" w:eastAsia="宋体" w:cs="宋体"/>
                <w:sz w:val="24"/>
                <w:szCs w:val="24"/>
                <w:lang w:eastAsia="zh-CN"/>
              </w:rPr>
            </w:pPr>
            <w:r>
              <w:rPr>
                <w:rFonts w:hint="eastAsia" w:ascii="宋体" w:hAnsi="宋体" w:eastAsia="宋体" w:cs="宋体"/>
                <w:sz w:val="24"/>
                <w:szCs w:val="24"/>
              </w:rPr>
              <w:t>8</w:t>
            </w:r>
          </w:p>
        </w:tc>
        <w:tc>
          <w:tcPr>
            <w:tcW w:w="2955" w:type="dxa"/>
            <w:tcBorders>
              <w:top w:val="single" w:color="000000" w:sz="4" w:space="0"/>
              <w:left w:val="single" w:color="000000" w:sz="4" w:space="0"/>
              <w:bottom w:val="single" w:color="000000" w:sz="4" w:space="0"/>
              <w:right w:val="single" w:color="000000" w:sz="4" w:space="0"/>
            </w:tcBorders>
            <w:vAlign w:val="center"/>
          </w:tcPr>
          <w:p w14:paraId="551D09F8">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高频开关电源模块</w:t>
            </w:r>
          </w:p>
        </w:tc>
        <w:tc>
          <w:tcPr>
            <w:tcW w:w="1035" w:type="dxa"/>
            <w:tcBorders>
              <w:top w:val="single" w:color="000000" w:sz="4" w:space="0"/>
              <w:left w:val="single" w:color="000000" w:sz="4" w:space="0"/>
              <w:bottom w:val="single" w:color="000000" w:sz="4" w:space="0"/>
              <w:right w:val="single" w:color="000000" w:sz="4" w:space="0"/>
            </w:tcBorders>
            <w:vAlign w:val="center"/>
          </w:tcPr>
          <w:p w14:paraId="29467910">
            <w:pPr>
              <w:jc w:val="center"/>
              <w:rPr>
                <w:rFonts w:hint="eastAsia" w:ascii="宋体" w:hAnsi="宋体" w:eastAsia="宋体" w:cs="宋体"/>
                <w:sz w:val="24"/>
                <w:szCs w:val="24"/>
              </w:rPr>
            </w:pPr>
            <w:r>
              <w:rPr>
                <w:rFonts w:hint="eastAsia" w:ascii="宋体" w:hAnsi="宋体" w:eastAsia="宋体" w:cs="宋体"/>
                <w:sz w:val="24"/>
                <w:szCs w:val="24"/>
              </w:rPr>
              <w:t>kW</w:t>
            </w:r>
          </w:p>
        </w:tc>
        <w:tc>
          <w:tcPr>
            <w:tcW w:w="4695" w:type="dxa"/>
            <w:tcBorders>
              <w:top w:val="single" w:color="000000" w:sz="4" w:space="0"/>
              <w:left w:val="single" w:color="000000" w:sz="4" w:space="0"/>
              <w:bottom w:val="single" w:color="000000" w:sz="4" w:space="0"/>
              <w:right w:val="single" w:color="000000" w:sz="4" w:space="0"/>
            </w:tcBorders>
            <w:vAlign w:val="center"/>
          </w:tcPr>
          <w:p w14:paraId="6BE08641">
            <w:pPr>
              <w:pStyle w:val="343"/>
              <w:kinsoku w:val="0"/>
              <w:overflowPunct w:val="0"/>
              <w:spacing w:line="361" w:lineRule="exact"/>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20kW≤单模块输出功率≤40kW</w:t>
            </w:r>
          </w:p>
        </w:tc>
      </w:tr>
      <w:tr w14:paraId="0929AEC0">
        <w:tblPrEx>
          <w:tblCellMar>
            <w:top w:w="0" w:type="dxa"/>
            <w:left w:w="0" w:type="dxa"/>
            <w:bottom w:w="0" w:type="dxa"/>
            <w:right w:w="0" w:type="dxa"/>
          </w:tblCellMar>
        </w:tblPrEx>
        <w:trPr>
          <w:trHeight w:val="810" w:hRule="exact"/>
        </w:trPr>
        <w:tc>
          <w:tcPr>
            <w:tcW w:w="1020" w:type="dxa"/>
            <w:tcBorders>
              <w:top w:val="single" w:color="000000" w:sz="4" w:space="0"/>
              <w:left w:val="single" w:color="000000" w:sz="4" w:space="0"/>
              <w:bottom w:val="single" w:color="000000" w:sz="4" w:space="0"/>
              <w:right w:val="single" w:color="000000" w:sz="4" w:space="0"/>
            </w:tcBorders>
            <w:vAlign w:val="center"/>
          </w:tcPr>
          <w:p w14:paraId="24E8DCEC">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9</w:t>
            </w:r>
          </w:p>
        </w:tc>
        <w:tc>
          <w:tcPr>
            <w:tcW w:w="2955" w:type="dxa"/>
            <w:tcBorders>
              <w:top w:val="single" w:color="000000" w:sz="4" w:space="0"/>
              <w:left w:val="single" w:color="000000" w:sz="4" w:space="0"/>
              <w:bottom w:val="single" w:color="000000" w:sz="4" w:space="0"/>
              <w:right w:val="single" w:color="000000" w:sz="4" w:space="0"/>
            </w:tcBorders>
            <w:vAlign w:val="center"/>
          </w:tcPr>
          <w:p w14:paraId="002CB5EA">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恒功率输出电压范围</w:t>
            </w:r>
          </w:p>
        </w:tc>
        <w:tc>
          <w:tcPr>
            <w:tcW w:w="1035" w:type="dxa"/>
            <w:tcBorders>
              <w:top w:val="single" w:color="000000" w:sz="4" w:space="0"/>
              <w:left w:val="single" w:color="000000" w:sz="4" w:space="0"/>
              <w:bottom w:val="single" w:color="000000" w:sz="4" w:space="0"/>
              <w:right w:val="single" w:color="000000" w:sz="4" w:space="0"/>
            </w:tcBorders>
            <w:vAlign w:val="center"/>
          </w:tcPr>
          <w:p w14:paraId="66E93F7B">
            <w:pPr>
              <w:jc w:val="center"/>
              <w:rPr>
                <w:rFonts w:hint="eastAsia" w:ascii="宋体" w:hAnsi="宋体" w:eastAsia="宋体" w:cs="宋体"/>
                <w:sz w:val="24"/>
                <w:szCs w:val="24"/>
              </w:rPr>
            </w:pPr>
            <w:r>
              <w:rPr>
                <w:rFonts w:hint="eastAsia" w:ascii="宋体" w:hAnsi="宋体" w:eastAsia="宋体" w:cs="宋体"/>
                <w:sz w:val="24"/>
                <w:szCs w:val="24"/>
              </w:rPr>
              <w:t>V</w:t>
            </w:r>
          </w:p>
        </w:tc>
        <w:tc>
          <w:tcPr>
            <w:tcW w:w="4695" w:type="dxa"/>
            <w:tcBorders>
              <w:top w:val="single" w:color="000000" w:sz="4" w:space="0"/>
              <w:left w:val="single" w:color="000000" w:sz="4" w:space="0"/>
              <w:bottom w:val="single" w:color="000000" w:sz="4" w:space="0"/>
              <w:right w:val="single" w:color="000000" w:sz="4" w:space="0"/>
            </w:tcBorders>
            <w:vAlign w:val="center"/>
          </w:tcPr>
          <w:p w14:paraId="5EC4F6C4">
            <w:pPr>
              <w:pStyle w:val="343"/>
              <w:kinsoku w:val="0"/>
              <w:overflowPunct w:val="0"/>
              <w:spacing w:line="361" w:lineRule="exact"/>
              <w:jc w:val="center"/>
              <w:rPr>
                <w:rFonts w:hint="eastAsia" w:ascii="宋体" w:hAnsi="宋体" w:eastAsia="宋体" w:cs="宋体"/>
                <w:sz w:val="24"/>
                <w:szCs w:val="24"/>
              </w:rPr>
            </w:pPr>
            <w:r>
              <w:rPr>
                <w:rFonts w:hint="eastAsia" w:ascii="宋体" w:hAnsi="宋体" w:eastAsia="宋体" w:cs="宋体"/>
                <w:sz w:val="24"/>
                <w:szCs w:val="24"/>
              </w:rPr>
              <w:t>300-1000</w:t>
            </w:r>
          </w:p>
        </w:tc>
      </w:tr>
      <w:tr w14:paraId="6B59B4F9">
        <w:tblPrEx>
          <w:tblCellMar>
            <w:top w:w="0" w:type="dxa"/>
            <w:left w:w="0" w:type="dxa"/>
            <w:bottom w:w="0" w:type="dxa"/>
            <w:right w:w="0" w:type="dxa"/>
          </w:tblCellMar>
        </w:tblPrEx>
        <w:trPr>
          <w:trHeight w:val="810" w:hRule="exact"/>
        </w:trPr>
        <w:tc>
          <w:tcPr>
            <w:tcW w:w="1020" w:type="dxa"/>
            <w:tcBorders>
              <w:top w:val="single" w:color="000000" w:sz="4" w:space="0"/>
              <w:left w:val="single" w:color="000000" w:sz="4" w:space="0"/>
              <w:bottom w:val="single" w:color="000000" w:sz="4" w:space="0"/>
              <w:right w:val="single" w:color="000000" w:sz="4" w:space="0"/>
            </w:tcBorders>
            <w:vAlign w:val="center"/>
          </w:tcPr>
          <w:p w14:paraId="60400E1F">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10</w:t>
            </w:r>
          </w:p>
        </w:tc>
        <w:tc>
          <w:tcPr>
            <w:tcW w:w="2955" w:type="dxa"/>
            <w:tcBorders>
              <w:top w:val="single" w:color="000000" w:sz="4" w:space="0"/>
              <w:left w:val="single" w:color="000000" w:sz="4" w:space="0"/>
              <w:bottom w:val="single" w:color="000000" w:sz="4" w:space="0"/>
              <w:right w:val="single" w:color="000000" w:sz="4" w:space="0"/>
            </w:tcBorders>
            <w:vAlign w:val="center"/>
          </w:tcPr>
          <w:p w14:paraId="4FEDD213">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功率因数</w:t>
            </w:r>
          </w:p>
        </w:tc>
        <w:tc>
          <w:tcPr>
            <w:tcW w:w="1035" w:type="dxa"/>
            <w:tcBorders>
              <w:top w:val="single" w:color="000000" w:sz="4" w:space="0"/>
              <w:left w:val="single" w:color="000000" w:sz="4" w:space="0"/>
              <w:bottom w:val="single" w:color="000000" w:sz="4" w:space="0"/>
              <w:right w:val="single" w:color="000000" w:sz="4" w:space="0"/>
            </w:tcBorders>
            <w:vAlign w:val="center"/>
          </w:tcPr>
          <w:p w14:paraId="472E90F1">
            <w:pPr>
              <w:jc w:val="center"/>
              <w:rPr>
                <w:rFonts w:hint="eastAsia" w:ascii="宋体" w:hAnsi="宋体" w:eastAsia="宋体" w:cs="宋体"/>
                <w:sz w:val="24"/>
                <w:szCs w:val="24"/>
              </w:rPr>
            </w:pPr>
          </w:p>
        </w:tc>
        <w:tc>
          <w:tcPr>
            <w:tcW w:w="4695" w:type="dxa"/>
            <w:tcBorders>
              <w:top w:val="single" w:color="000000" w:sz="4" w:space="0"/>
              <w:left w:val="single" w:color="000000" w:sz="4" w:space="0"/>
              <w:bottom w:val="single" w:color="000000" w:sz="4" w:space="0"/>
              <w:right w:val="single" w:color="000000" w:sz="4" w:space="0"/>
            </w:tcBorders>
            <w:vAlign w:val="center"/>
          </w:tcPr>
          <w:p w14:paraId="1C3AA486">
            <w:pPr>
              <w:pStyle w:val="343"/>
              <w:kinsoku w:val="0"/>
              <w:overflowPunct w:val="0"/>
              <w:spacing w:line="361" w:lineRule="exact"/>
              <w:jc w:val="center"/>
              <w:rPr>
                <w:rFonts w:hint="eastAsia" w:ascii="宋体" w:hAnsi="宋体" w:eastAsia="宋体" w:cs="宋体"/>
                <w:sz w:val="24"/>
                <w:szCs w:val="24"/>
              </w:rPr>
            </w:pPr>
            <w:r>
              <w:rPr>
                <w:rFonts w:hint="eastAsia" w:ascii="宋体" w:hAnsi="宋体" w:eastAsia="宋体" w:cs="宋体"/>
                <w:sz w:val="24"/>
                <w:szCs w:val="24"/>
              </w:rPr>
              <w:t>≥0.99（50%＜PO/PN</w:t>
            </w:r>
            <w:r>
              <w:rPr>
                <w:rFonts w:hint="eastAsia" w:ascii="宋体" w:hAnsi="宋体" w:eastAsia="宋体" w:cs="宋体"/>
                <w:spacing w:val="-8"/>
                <w:sz w:val="24"/>
                <w:szCs w:val="24"/>
              </w:rPr>
              <w:t xml:space="preserve"> </w:t>
            </w:r>
            <w:r>
              <w:rPr>
                <w:rFonts w:hint="eastAsia" w:ascii="宋体" w:hAnsi="宋体" w:eastAsia="宋体" w:cs="宋体"/>
                <w:sz w:val="24"/>
                <w:szCs w:val="24"/>
              </w:rPr>
              <w:t>≤100%）</w:t>
            </w:r>
          </w:p>
          <w:p w14:paraId="411CF63F">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≥0.95（20%≤PO/PN≤50%）</w:t>
            </w:r>
          </w:p>
        </w:tc>
      </w:tr>
      <w:tr w14:paraId="2EE963C4">
        <w:tblPrEx>
          <w:tblCellMar>
            <w:top w:w="0" w:type="dxa"/>
            <w:left w:w="0" w:type="dxa"/>
            <w:bottom w:w="0" w:type="dxa"/>
            <w:right w:w="0" w:type="dxa"/>
          </w:tblCellMar>
        </w:tblPrEx>
        <w:trPr>
          <w:trHeight w:val="761" w:hRule="exact"/>
        </w:trPr>
        <w:tc>
          <w:tcPr>
            <w:tcW w:w="1020" w:type="dxa"/>
            <w:tcBorders>
              <w:top w:val="single" w:color="000000" w:sz="4" w:space="0"/>
              <w:left w:val="single" w:color="000000" w:sz="4" w:space="0"/>
              <w:bottom w:val="single" w:color="000000" w:sz="4" w:space="0"/>
              <w:right w:val="single" w:color="000000" w:sz="4" w:space="0"/>
            </w:tcBorders>
            <w:vAlign w:val="center"/>
          </w:tcPr>
          <w:p w14:paraId="4A916536">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11</w:t>
            </w:r>
          </w:p>
        </w:tc>
        <w:tc>
          <w:tcPr>
            <w:tcW w:w="2955" w:type="dxa"/>
            <w:tcBorders>
              <w:top w:val="single" w:color="000000" w:sz="4" w:space="0"/>
              <w:left w:val="single" w:color="000000" w:sz="4" w:space="0"/>
              <w:bottom w:val="single" w:color="000000" w:sz="4" w:space="0"/>
              <w:right w:val="single" w:color="000000" w:sz="4" w:space="0"/>
            </w:tcBorders>
            <w:vAlign w:val="center"/>
          </w:tcPr>
          <w:p w14:paraId="7A5778AB">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效率</w:t>
            </w:r>
          </w:p>
        </w:tc>
        <w:tc>
          <w:tcPr>
            <w:tcW w:w="1035" w:type="dxa"/>
            <w:tcBorders>
              <w:top w:val="single" w:color="000000" w:sz="4" w:space="0"/>
              <w:left w:val="single" w:color="000000" w:sz="4" w:space="0"/>
              <w:bottom w:val="single" w:color="000000" w:sz="4" w:space="0"/>
              <w:right w:val="single" w:color="000000" w:sz="4" w:space="0"/>
            </w:tcBorders>
            <w:vAlign w:val="center"/>
          </w:tcPr>
          <w:p w14:paraId="2CCAC47A">
            <w:pPr>
              <w:jc w:val="center"/>
              <w:rPr>
                <w:rFonts w:hint="eastAsia" w:ascii="宋体" w:hAnsi="宋体" w:eastAsia="宋体" w:cs="宋体"/>
                <w:sz w:val="24"/>
                <w:szCs w:val="24"/>
              </w:rPr>
            </w:pPr>
          </w:p>
        </w:tc>
        <w:tc>
          <w:tcPr>
            <w:tcW w:w="4695" w:type="dxa"/>
            <w:tcBorders>
              <w:top w:val="single" w:color="000000" w:sz="4" w:space="0"/>
              <w:left w:val="single" w:color="000000" w:sz="4" w:space="0"/>
              <w:bottom w:val="single" w:color="000000" w:sz="4" w:space="0"/>
              <w:right w:val="single" w:color="000000" w:sz="4" w:space="0"/>
            </w:tcBorders>
            <w:vAlign w:val="center"/>
          </w:tcPr>
          <w:p w14:paraId="63B67989">
            <w:pPr>
              <w:pStyle w:val="343"/>
              <w:kinsoku w:val="0"/>
              <w:overflowPunct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≥93%（50%＜PO/PN≤100%）</w:t>
            </w:r>
          </w:p>
          <w:p w14:paraId="55BDABBC">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≥88%（20%≤PO/PN≤50%）</w:t>
            </w:r>
          </w:p>
        </w:tc>
      </w:tr>
      <w:tr w14:paraId="5E21CD9A">
        <w:tblPrEx>
          <w:tblCellMar>
            <w:top w:w="0" w:type="dxa"/>
            <w:left w:w="0" w:type="dxa"/>
            <w:bottom w:w="0" w:type="dxa"/>
            <w:right w:w="0" w:type="dxa"/>
          </w:tblCellMar>
        </w:tblPrEx>
        <w:trPr>
          <w:trHeight w:val="600" w:hRule="exact"/>
        </w:trPr>
        <w:tc>
          <w:tcPr>
            <w:tcW w:w="1020" w:type="dxa"/>
            <w:tcBorders>
              <w:top w:val="single" w:color="000000" w:sz="4" w:space="0"/>
              <w:left w:val="single" w:color="000000" w:sz="4" w:space="0"/>
              <w:bottom w:val="single" w:color="000000" w:sz="4" w:space="0"/>
              <w:right w:val="single" w:color="000000" w:sz="4" w:space="0"/>
            </w:tcBorders>
            <w:vAlign w:val="center"/>
          </w:tcPr>
          <w:p w14:paraId="35BACA50">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12</w:t>
            </w:r>
          </w:p>
        </w:tc>
        <w:tc>
          <w:tcPr>
            <w:tcW w:w="2955" w:type="dxa"/>
            <w:tcBorders>
              <w:top w:val="single" w:color="000000" w:sz="4" w:space="0"/>
              <w:left w:val="single" w:color="000000" w:sz="4" w:space="0"/>
              <w:bottom w:val="single" w:color="000000" w:sz="4" w:space="0"/>
              <w:right w:val="single" w:color="000000" w:sz="4" w:space="0"/>
            </w:tcBorders>
            <w:vAlign w:val="center"/>
          </w:tcPr>
          <w:p w14:paraId="2A820375">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电压精度</w:t>
            </w:r>
          </w:p>
        </w:tc>
        <w:tc>
          <w:tcPr>
            <w:tcW w:w="1035" w:type="dxa"/>
            <w:tcBorders>
              <w:top w:val="single" w:color="000000" w:sz="4" w:space="0"/>
              <w:left w:val="single" w:color="000000" w:sz="4" w:space="0"/>
              <w:bottom w:val="single" w:color="000000" w:sz="4" w:space="0"/>
              <w:right w:val="single" w:color="000000" w:sz="4" w:space="0"/>
            </w:tcBorders>
            <w:vAlign w:val="center"/>
          </w:tcPr>
          <w:p w14:paraId="1B915904">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w:t>
            </w:r>
          </w:p>
        </w:tc>
        <w:tc>
          <w:tcPr>
            <w:tcW w:w="4695" w:type="dxa"/>
            <w:tcBorders>
              <w:top w:val="single" w:color="000000" w:sz="4" w:space="0"/>
              <w:left w:val="single" w:color="000000" w:sz="4" w:space="0"/>
              <w:bottom w:val="single" w:color="000000" w:sz="4" w:space="0"/>
              <w:right w:val="single" w:color="000000" w:sz="4" w:space="0"/>
            </w:tcBorders>
            <w:vAlign w:val="center"/>
          </w:tcPr>
          <w:p w14:paraId="0199B4FE">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不超过±0.5%</w:t>
            </w:r>
          </w:p>
        </w:tc>
      </w:tr>
      <w:tr w14:paraId="455F941D">
        <w:tblPrEx>
          <w:tblCellMar>
            <w:top w:w="0" w:type="dxa"/>
            <w:left w:w="0" w:type="dxa"/>
            <w:bottom w:w="0" w:type="dxa"/>
            <w:right w:w="0" w:type="dxa"/>
          </w:tblCellMar>
        </w:tblPrEx>
        <w:trPr>
          <w:trHeight w:val="563" w:hRule="exact"/>
        </w:trPr>
        <w:tc>
          <w:tcPr>
            <w:tcW w:w="1020" w:type="dxa"/>
            <w:tcBorders>
              <w:top w:val="single" w:color="000000" w:sz="4" w:space="0"/>
              <w:left w:val="single" w:color="000000" w:sz="4" w:space="0"/>
              <w:bottom w:val="single" w:color="000000" w:sz="4" w:space="0"/>
              <w:right w:val="single" w:color="000000" w:sz="4" w:space="0"/>
            </w:tcBorders>
            <w:vAlign w:val="center"/>
          </w:tcPr>
          <w:p w14:paraId="62EC5CA0">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13</w:t>
            </w:r>
          </w:p>
        </w:tc>
        <w:tc>
          <w:tcPr>
            <w:tcW w:w="2955" w:type="dxa"/>
            <w:tcBorders>
              <w:top w:val="single" w:color="000000" w:sz="4" w:space="0"/>
              <w:left w:val="single" w:color="000000" w:sz="4" w:space="0"/>
              <w:bottom w:val="single" w:color="000000" w:sz="4" w:space="0"/>
              <w:right w:val="single" w:color="000000" w:sz="4" w:space="0"/>
            </w:tcBorders>
            <w:vAlign w:val="center"/>
          </w:tcPr>
          <w:p w14:paraId="2F252F0C">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电流精度</w:t>
            </w:r>
          </w:p>
        </w:tc>
        <w:tc>
          <w:tcPr>
            <w:tcW w:w="1035" w:type="dxa"/>
            <w:tcBorders>
              <w:top w:val="single" w:color="000000" w:sz="4" w:space="0"/>
              <w:left w:val="single" w:color="000000" w:sz="4" w:space="0"/>
              <w:bottom w:val="single" w:color="000000" w:sz="4" w:space="0"/>
              <w:right w:val="single" w:color="000000" w:sz="4" w:space="0"/>
            </w:tcBorders>
            <w:vAlign w:val="center"/>
          </w:tcPr>
          <w:p w14:paraId="3A737895">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w:t>
            </w:r>
          </w:p>
        </w:tc>
        <w:tc>
          <w:tcPr>
            <w:tcW w:w="4695" w:type="dxa"/>
            <w:tcBorders>
              <w:top w:val="single" w:color="000000" w:sz="4" w:space="0"/>
              <w:left w:val="single" w:color="000000" w:sz="4" w:space="0"/>
              <w:bottom w:val="single" w:color="000000" w:sz="4" w:space="0"/>
              <w:right w:val="single" w:color="000000" w:sz="4" w:space="0"/>
            </w:tcBorders>
            <w:vAlign w:val="center"/>
          </w:tcPr>
          <w:p w14:paraId="6787A057">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≥30A</w:t>
            </w:r>
            <w:r>
              <w:rPr>
                <w:rFonts w:hint="eastAsia" w:ascii="宋体" w:hAnsi="宋体" w:eastAsia="宋体" w:cs="宋体"/>
                <w:sz w:val="24"/>
                <w:szCs w:val="24"/>
                <w:lang w:eastAsia="zh-CN"/>
              </w:rPr>
              <w:t>，</w:t>
            </w:r>
            <w:r>
              <w:rPr>
                <w:rFonts w:hint="eastAsia" w:ascii="宋体" w:hAnsi="宋体" w:eastAsia="宋体" w:cs="宋体"/>
                <w:sz w:val="24"/>
                <w:szCs w:val="24"/>
              </w:rPr>
              <w:t>不超过±1%</w:t>
            </w:r>
            <w:r>
              <w:rPr>
                <w:rFonts w:hint="eastAsia" w:ascii="宋体" w:hAnsi="宋体" w:eastAsia="宋体" w:cs="宋体"/>
                <w:sz w:val="24"/>
                <w:szCs w:val="24"/>
                <w:lang w:eastAsia="zh-CN"/>
              </w:rPr>
              <w:t>；</w:t>
            </w:r>
            <w:r>
              <w:rPr>
                <w:rFonts w:hint="eastAsia" w:ascii="宋体" w:hAnsi="宋体" w:eastAsia="宋体" w:cs="宋体"/>
                <w:sz w:val="24"/>
                <w:szCs w:val="24"/>
              </w:rPr>
              <w:t>＜30A：不超过±0.3A</w:t>
            </w:r>
          </w:p>
        </w:tc>
      </w:tr>
      <w:tr w14:paraId="4051D57D">
        <w:tblPrEx>
          <w:tblCellMar>
            <w:top w:w="0" w:type="dxa"/>
            <w:left w:w="0" w:type="dxa"/>
            <w:bottom w:w="0" w:type="dxa"/>
            <w:right w:w="0" w:type="dxa"/>
          </w:tblCellMar>
        </w:tblPrEx>
        <w:trPr>
          <w:trHeight w:val="488" w:hRule="exact"/>
        </w:trPr>
        <w:tc>
          <w:tcPr>
            <w:tcW w:w="1020" w:type="dxa"/>
            <w:tcBorders>
              <w:top w:val="single" w:color="000000" w:sz="4" w:space="0"/>
              <w:left w:val="single" w:color="000000" w:sz="4" w:space="0"/>
              <w:bottom w:val="single" w:color="000000" w:sz="4" w:space="0"/>
              <w:right w:val="single" w:color="000000" w:sz="4" w:space="0"/>
            </w:tcBorders>
            <w:vAlign w:val="center"/>
          </w:tcPr>
          <w:p w14:paraId="189B0713">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14</w:t>
            </w:r>
          </w:p>
        </w:tc>
        <w:tc>
          <w:tcPr>
            <w:tcW w:w="2955" w:type="dxa"/>
            <w:tcBorders>
              <w:top w:val="single" w:color="000000" w:sz="4" w:space="0"/>
              <w:left w:val="single" w:color="000000" w:sz="4" w:space="0"/>
              <w:bottom w:val="single" w:color="000000" w:sz="4" w:space="0"/>
              <w:right w:val="single" w:color="000000" w:sz="4" w:space="0"/>
            </w:tcBorders>
            <w:vAlign w:val="center"/>
          </w:tcPr>
          <w:p w14:paraId="3552C83B">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稳压精度</w:t>
            </w:r>
          </w:p>
        </w:tc>
        <w:tc>
          <w:tcPr>
            <w:tcW w:w="1035" w:type="dxa"/>
            <w:tcBorders>
              <w:top w:val="single" w:color="000000" w:sz="4" w:space="0"/>
              <w:left w:val="single" w:color="000000" w:sz="4" w:space="0"/>
              <w:bottom w:val="single" w:color="000000" w:sz="4" w:space="0"/>
              <w:right w:val="single" w:color="000000" w:sz="4" w:space="0"/>
            </w:tcBorders>
            <w:vAlign w:val="center"/>
          </w:tcPr>
          <w:p w14:paraId="357883D9">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w:t>
            </w:r>
          </w:p>
        </w:tc>
        <w:tc>
          <w:tcPr>
            <w:tcW w:w="4695" w:type="dxa"/>
            <w:tcBorders>
              <w:top w:val="single" w:color="000000" w:sz="4" w:space="0"/>
              <w:left w:val="single" w:color="000000" w:sz="4" w:space="0"/>
              <w:bottom w:val="single" w:color="000000" w:sz="4" w:space="0"/>
              <w:right w:val="single" w:color="000000" w:sz="4" w:space="0"/>
            </w:tcBorders>
            <w:vAlign w:val="center"/>
          </w:tcPr>
          <w:p w14:paraId="5E3431EB">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不超过±0.5%</w:t>
            </w:r>
          </w:p>
        </w:tc>
      </w:tr>
      <w:tr w14:paraId="6B61D43F">
        <w:tblPrEx>
          <w:tblCellMar>
            <w:top w:w="0" w:type="dxa"/>
            <w:left w:w="0" w:type="dxa"/>
            <w:bottom w:w="0" w:type="dxa"/>
            <w:right w:w="0" w:type="dxa"/>
          </w:tblCellMar>
        </w:tblPrEx>
        <w:trPr>
          <w:trHeight w:val="488" w:hRule="exact"/>
        </w:trPr>
        <w:tc>
          <w:tcPr>
            <w:tcW w:w="1020" w:type="dxa"/>
            <w:tcBorders>
              <w:top w:val="single" w:color="000000" w:sz="4" w:space="0"/>
              <w:left w:val="single" w:color="000000" w:sz="4" w:space="0"/>
              <w:bottom w:val="single" w:color="000000" w:sz="4" w:space="0"/>
              <w:right w:val="single" w:color="000000" w:sz="4" w:space="0"/>
            </w:tcBorders>
            <w:vAlign w:val="center"/>
          </w:tcPr>
          <w:p w14:paraId="0305BFEA">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15</w:t>
            </w:r>
          </w:p>
        </w:tc>
        <w:tc>
          <w:tcPr>
            <w:tcW w:w="2955" w:type="dxa"/>
            <w:tcBorders>
              <w:top w:val="single" w:color="000000" w:sz="4" w:space="0"/>
              <w:left w:val="single" w:color="000000" w:sz="4" w:space="0"/>
              <w:bottom w:val="single" w:color="000000" w:sz="4" w:space="0"/>
              <w:right w:val="single" w:color="000000" w:sz="4" w:space="0"/>
            </w:tcBorders>
            <w:vAlign w:val="center"/>
          </w:tcPr>
          <w:p w14:paraId="37C97916">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稳流精度</w:t>
            </w:r>
          </w:p>
        </w:tc>
        <w:tc>
          <w:tcPr>
            <w:tcW w:w="1035" w:type="dxa"/>
            <w:tcBorders>
              <w:top w:val="single" w:color="000000" w:sz="4" w:space="0"/>
              <w:left w:val="single" w:color="000000" w:sz="4" w:space="0"/>
              <w:bottom w:val="single" w:color="000000" w:sz="4" w:space="0"/>
              <w:right w:val="single" w:color="000000" w:sz="4" w:space="0"/>
            </w:tcBorders>
            <w:vAlign w:val="center"/>
          </w:tcPr>
          <w:p w14:paraId="748430A5">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w:t>
            </w:r>
          </w:p>
        </w:tc>
        <w:tc>
          <w:tcPr>
            <w:tcW w:w="4695" w:type="dxa"/>
            <w:tcBorders>
              <w:top w:val="single" w:color="000000" w:sz="4" w:space="0"/>
              <w:left w:val="single" w:color="000000" w:sz="4" w:space="0"/>
              <w:bottom w:val="single" w:color="000000" w:sz="4" w:space="0"/>
              <w:right w:val="single" w:color="000000" w:sz="4" w:space="0"/>
            </w:tcBorders>
            <w:vAlign w:val="center"/>
          </w:tcPr>
          <w:p w14:paraId="16D98F85">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不超过±1%</w:t>
            </w:r>
          </w:p>
        </w:tc>
      </w:tr>
      <w:tr w14:paraId="334A1D89">
        <w:tblPrEx>
          <w:tblCellMar>
            <w:top w:w="0" w:type="dxa"/>
            <w:left w:w="0" w:type="dxa"/>
            <w:bottom w:w="0" w:type="dxa"/>
            <w:right w:w="0" w:type="dxa"/>
          </w:tblCellMar>
        </w:tblPrEx>
        <w:trPr>
          <w:trHeight w:val="488" w:hRule="exact"/>
        </w:trPr>
        <w:tc>
          <w:tcPr>
            <w:tcW w:w="1020" w:type="dxa"/>
            <w:tcBorders>
              <w:top w:val="single" w:color="000000" w:sz="4" w:space="0"/>
              <w:left w:val="single" w:color="000000" w:sz="4" w:space="0"/>
              <w:bottom w:val="single" w:color="000000" w:sz="4" w:space="0"/>
              <w:right w:val="single" w:color="000000" w:sz="4" w:space="0"/>
            </w:tcBorders>
            <w:vAlign w:val="center"/>
          </w:tcPr>
          <w:p w14:paraId="72667937">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16</w:t>
            </w:r>
          </w:p>
        </w:tc>
        <w:tc>
          <w:tcPr>
            <w:tcW w:w="2955" w:type="dxa"/>
            <w:tcBorders>
              <w:top w:val="single" w:color="000000" w:sz="4" w:space="0"/>
              <w:left w:val="single" w:color="000000" w:sz="4" w:space="0"/>
              <w:bottom w:val="single" w:color="000000" w:sz="4" w:space="0"/>
              <w:right w:val="single" w:color="000000" w:sz="4" w:space="0"/>
            </w:tcBorders>
            <w:vAlign w:val="center"/>
          </w:tcPr>
          <w:p w14:paraId="12AA2B16">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纹波系数</w:t>
            </w:r>
          </w:p>
        </w:tc>
        <w:tc>
          <w:tcPr>
            <w:tcW w:w="1035" w:type="dxa"/>
            <w:tcBorders>
              <w:top w:val="single" w:color="000000" w:sz="4" w:space="0"/>
              <w:left w:val="single" w:color="000000" w:sz="4" w:space="0"/>
              <w:bottom w:val="single" w:color="000000" w:sz="4" w:space="0"/>
              <w:right w:val="single" w:color="000000" w:sz="4" w:space="0"/>
            </w:tcBorders>
            <w:vAlign w:val="center"/>
          </w:tcPr>
          <w:p w14:paraId="5AAEEDDB">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w:t>
            </w:r>
          </w:p>
        </w:tc>
        <w:tc>
          <w:tcPr>
            <w:tcW w:w="4695" w:type="dxa"/>
            <w:tcBorders>
              <w:top w:val="single" w:color="000000" w:sz="4" w:space="0"/>
              <w:left w:val="single" w:color="000000" w:sz="4" w:space="0"/>
              <w:bottom w:val="single" w:color="000000" w:sz="4" w:space="0"/>
              <w:right w:val="single" w:color="000000" w:sz="4" w:space="0"/>
            </w:tcBorders>
            <w:vAlign w:val="center"/>
          </w:tcPr>
          <w:p w14:paraId="4C0961D5">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峰值：不超过±1%</w:t>
            </w:r>
          </w:p>
        </w:tc>
      </w:tr>
      <w:tr w14:paraId="47D3E643">
        <w:tblPrEx>
          <w:tblCellMar>
            <w:top w:w="0" w:type="dxa"/>
            <w:left w:w="0" w:type="dxa"/>
            <w:bottom w:w="0" w:type="dxa"/>
            <w:right w:w="0" w:type="dxa"/>
          </w:tblCellMar>
        </w:tblPrEx>
        <w:trPr>
          <w:trHeight w:val="488" w:hRule="exact"/>
        </w:trPr>
        <w:tc>
          <w:tcPr>
            <w:tcW w:w="1020" w:type="dxa"/>
            <w:tcBorders>
              <w:top w:val="single" w:color="000000" w:sz="4" w:space="0"/>
              <w:left w:val="single" w:color="000000" w:sz="4" w:space="0"/>
              <w:bottom w:val="single" w:color="000000" w:sz="4" w:space="0"/>
              <w:right w:val="single" w:color="000000" w:sz="4" w:space="0"/>
            </w:tcBorders>
            <w:vAlign w:val="center"/>
          </w:tcPr>
          <w:p w14:paraId="74A1D92D">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17</w:t>
            </w:r>
          </w:p>
        </w:tc>
        <w:tc>
          <w:tcPr>
            <w:tcW w:w="2955" w:type="dxa"/>
            <w:tcBorders>
              <w:top w:val="single" w:color="000000" w:sz="4" w:space="0"/>
              <w:left w:val="single" w:color="000000" w:sz="4" w:space="0"/>
              <w:bottom w:val="single" w:color="000000" w:sz="4" w:space="0"/>
              <w:right w:val="single" w:color="000000" w:sz="4" w:space="0"/>
            </w:tcBorders>
            <w:vAlign w:val="center"/>
          </w:tcPr>
          <w:p w14:paraId="7D1DD9FC">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噪声</w:t>
            </w:r>
          </w:p>
        </w:tc>
        <w:tc>
          <w:tcPr>
            <w:tcW w:w="1035" w:type="dxa"/>
            <w:tcBorders>
              <w:top w:val="single" w:color="000000" w:sz="4" w:space="0"/>
              <w:left w:val="single" w:color="000000" w:sz="4" w:space="0"/>
              <w:bottom w:val="single" w:color="000000" w:sz="4" w:space="0"/>
              <w:right w:val="single" w:color="000000" w:sz="4" w:space="0"/>
            </w:tcBorders>
            <w:vAlign w:val="center"/>
          </w:tcPr>
          <w:p w14:paraId="60B992A5">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dB</w:t>
            </w:r>
          </w:p>
        </w:tc>
        <w:tc>
          <w:tcPr>
            <w:tcW w:w="4695" w:type="dxa"/>
            <w:tcBorders>
              <w:top w:val="single" w:color="000000" w:sz="4" w:space="0"/>
              <w:left w:val="single" w:color="000000" w:sz="4" w:space="0"/>
              <w:bottom w:val="single" w:color="000000" w:sz="4" w:space="0"/>
              <w:right w:val="single" w:color="000000" w:sz="4" w:space="0"/>
            </w:tcBorders>
            <w:vAlign w:val="center"/>
          </w:tcPr>
          <w:p w14:paraId="690903E5">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满足国标Ⅱ级要求</w:t>
            </w:r>
          </w:p>
        </w:tc>
      </w:tr>
      <w:tr w14:paraId="4F2D5870">
        <w:tblPrEx>
          <w:tblCellMar>
            <w:top w:w="0" w:type="dxa"/>
            <w:left w:w="0" w:type="dxa"/>
            <w:bottom w:w="0" w:type="dxa"/>
            <w:right w:w="0" w:type="dxa"/>
          </w:tblCellMar>
        </w:tblPrEx>
        <w:trPr>
          <w:trHeight w:val="488" w:hRule="exact"/>
        </w:trPr>
        <w:tc>
          <w:tcPr>
            <w:tcW w:w="1020" w:type="dxa"/>
            <w:tcBorders>
              <w:top w:val="single" w:color="000000" w:sz="4" w:space="0"/>
              <w:left w:val="single" w:color="000000" w:sz="4" w:space="0"/>
              <w:bottom w:val="single" w:color="000000" w:sz="4" w:space="0"/>
              <w:right w:val="single" w:color="000000" w:sz="4" w:space="0"/>
            </w:tcBorders>
            <w:vAlign w:val="center"/>
          </w:tcPr>
          <w:p w14:paraId="2F89E5D6">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18</w:t>
            </w:r>
          </w:p>
        </w:tc>
        <w:tc>
          <w:tcPr>
            <w:tcW w:w="2955" w:type="dxa"/>
            <w:tcBorders>
              <w:top w:val="single" w:color="000000" w:sz="4" w:space="0"/>
              <w:left w:val="single" w:color="000000" w:sz="4" w:space="0"/>
              <w:bottom w:val="single" w:color="000000" w:sz="4" w:space="0"/>
              <w:right w:val="single" w:color="000000" w:sz="4" w:space="0"/>
            </w:tcBorders>
            <w:vAlign w:val="center"/>
          </w:tcPr>
          <w:p w14:paraId="75378270">
            <w:pPr>
              <w:pStyle w:val="343"/>
              <w:kinsoku w:val="0"/>
              <w:overflowPunct w:val="0"/>
              <w:jc w:val="center"/>
              <w:rPr>
                <w:rFonts w:hint="eastAsia" w:ascii="宋体" w:hAnsi="宋体" w:eastAsia="宋体" w:cs="宋体"/>
                <w:sz w:val="24"/>
                <w:szCs w:val="24"/>
                <w:lang w:eastAsia="zh-CN"/>
              </w:rPr>
            </w:pPr>
            <w:r>
              <w:rPr>
                <w:rFonts w:hint="eastAsia" w:ascii="宋体" w:hAnsi="宋体" w:eastAsia="宋体" w:cs="宋体"/>
                <w:sz w:val="24"/>
                <w:szCs w:val="24"/>
              </w:rPr>
              <w:t>静电放电抗扰度</w:t>
            </w:r>
          </w:p>
        </w:tc>
        <w:tc>
          <w:tcPr>
            <w:tcW w:w="1035" w:type="dxa"/>
            <w:tcBorders>
              <w:top w:val="single" w:color="000000" w:sz="4" w:space="0"/>
              <w:left w:val="single" w:color="000000" w:sz="4" w:space="0"/>
              <w:bottom w:val="single" w:color="000000" w:sz="4" w:space="0"/>
              <w:right w:val="single" w:color="000000" w:sz="4" w:space="0"/>
            </w:tcBorders>
            <w:vAlign w:val="center"/>
          </w:tcPr>
          <w:p w14:paraId="6F32B24D">
            <w:pPr>
              <w:pStyle w:val="343"/>
              <w:kinsoku w:val="0"/>
              <w:overflowPunct w:val="0"/>
              <w:jc w:val="center"/>
              <w:rPr>
                <w:rFonts w:hint="eastAsia" w:ascii="宋体" w:hAnsi="宋体" w:eastAsia="宋体" w:cs="宋体"/>
                <w:sz w:val="24"/>
                <w:szCs w:val="24"/>
                <w:lang w:eastAsia="zh-CN"/>
              </w:rPr>
            </w:pPr>
          </w:p>
        </w:tc>
        <w:tc>
          <w:tcPr>
            <w:tcW w:w="4695" w:type="dxa"/>
            <w:tcBorders>
              <w:top w:val="single" w:color="000000" w:sz="4" w:space="0"/>
              <w:left w:val="single" w:color="000000" w:sz="4" w:space="0"/>
              <w:bottom w:val="single" w:color="000000" w:sz="4" w:space="0"/>
              <w:right w:val="single" w:color="000000" w:sz="4" w:space="0"/>
            </w:tcBorders>
            <w:vAlign w:val="center"/>
          </w:tcPr>
          <w:p w14:paraId="225BEDF9">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pacing w:val="-71"/>
                <w:sz w:val="24"/>
                <w:szCs w:val="24"/>
              </w:rPr>
              <w:t xml:space="preserve"> </w:t>
            </w:r>
            <w:r>
              <w:rPr>
                <w:rFonts w:hint="eastAsia" w:ascii="宋体" w:hAnsi="宋体" w:eastAsia="宋体" w:cs="宋体"/>
                <w:sz w:val="24"/>
                <w:szCs w:val="24"/>
              </w:rPr>
              <w:t>级</w:t>
            </w:r>
          </w:p>
        </w:tc>
      </w:tr>
      <w:tr w14:paraId="16DCC76F">
        <w:tblPrEx>
          <w:tblCellMar>
            <w:top w:w="0" w:type="dxa"/>
            <w:left w:w="0" w:type="dxa"/>
            <w:bottom w:w="0" w:type="dxa"/>
            <w:right w:w="0" w:type="dxa"/>
          </w:tblCellMar>
        </w:tblPrEx>
        <w:trPr>
          <w:trHeight w:val="488" w:hRule="exact"/>
        </w:trPr>
        <w:tc>
          <w:tcPr>
            <w:tcW w:w="1020" w:type="dxa"/>
            <w:tcBorders>
              <w:top w:val="single" w:color="000000" w:sz="4" w:space="0"/>
              <w:left w:val="single" w:color="000000" w:sz="4" w:space="0"/>
              <w:bottom w:val="single" w:color="000000" w:sz="4" w:space="0"/>
              <w:right w:val="single" w:color="000000" w:sz="4" w:space="0"/>
            </w:tcBorders>
            <w:vAlign w:val="center"/>
          </w:tcPr>
          <w:p w14:paraId="7488C8CF">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19</w:t>
            </w:r>
          </w:p>
        </w:tc>
        <w:tc>
          <w:tcPr>
            <w:tcW w:w="2955" w:type="dxa"/>
            <w:tcBorders>
              <w:top w:val="single" w:color="000000" w:sz="4" w:space="0"/>
              <w:left w:val="single" w:color="000000" w:sz="4" w:space="0"/>
              <w:bottom w:val="single" w:color="000000" w:sz="4" w:space="0"/>
              <w:right w:val="single" w:color="000000" w:sz="4" w:space="0"/>
            </w:tcBorders>
            <w:vAlign w:val="center"/>
          </w:tcPr>
          <w:p w14:paraId="37EEB6F8">
            <w:pPr>
              <w:pStyle w:val="343"/>
              <w:kinsoku w:val="0"/>
              <w:overflowPunct w:val="0"/>
              <w:jc w:val="center"/>
              <w:rPr>
                <w:rFonts w:hint="eastAsia" w:ascii="宋体" w:hAnsi="宋体" w:eastAsia="宋体" w:cs="宋体"/>
                <w:sz w:val="24"/>
                <w:szCs w:val="24"/>
                <w:lang w:eastAsia="zh-CN"/>
              </w:rPr>
            </w:pPr>
            <w:r>
              <w:rPr>
                <w:rFonts w:hint="eastAsia" w:ascii="宋体" w:hAnsi="宋体" w:eastAsia="宋体" w:cs="宋体"/>
                <w:spacing w:val="-2"/>
                <w:sz w:val="24"/>
                <w:szCs w:val="24"/>
                <w:lang w:eastAsia="zh-CN"/>
              </w:rPr>
              <w:t>射频电磁场辐射抗扰</w:t>
            </w:r>
            <w:r>
              <w:rPr>
                <w:rFonts w:hint="eastAsia" w:ascii="宋体" w:hAnsi="宋体" w:eastAsia="宋体" w:cs="宋体"/>
                <w:spacing w:val="-127"/>
                <w:sz w:val="24"/>
                <w:szCs w:val="24"/>
                <w:lang w:eastAsia="zh-CN"/>
              </w:rPr>
              <w:t xml:space="preserve"> </w:t>
            </w:r>
            <w:r>
              <w:rPr>
                <w:rFonts w:hint="eastAsia" w:ascii="宋体" w:hAnsi="宋体" w:eastAsia="宋体" w:cs="宋体"/>
                <w:sz w:val="24"/>
                <w:szCs w:val="24"/>
                <w:lang w:eastAsia="zh-CN"/>
              </w:rPr>
              <w:t>度</w:t>
            </w:r>
          </w:p>
        </w:tc>
        <w:tc>
          <w:tcPr>
            <w:tcW w:w="1035" w:type="dxa"/>
            <w:tcBorders>
              <w:top w:val="single" w:color="000000" w:sz="4" w:space="0"/>
              <w:left w:val="single" w:color="000000" w:sz="4" w:space="0"/>
              <w:bottom w:val="single" w:color="000000" w:sz="4" w:space="0"/>
              <w:right w:val="single" w:color="000000" w:sz="4" w:space="0"/>
            </w:tcBorders>
            <w:vAlign w:val="center"/>
          </w:tcPr>
          <w:p w14:paraId="0EB057E3">
            <w:pPr>
              <w:pStyle w:val="343"/>
              <w:kinsoku w:val="0"/>
              <w:overflowPunct w:val="0"/>
              <w:jc w:val="center"/>
              <w:rPr>
                <w:rFonts w:hint="eastAsia" w:ascii="宋体" w:hAnsi="宋体" w:eastAsia="宋体" w:cs="宋体"/>
                <w:sz w:val="24"/>
                <w:szCs w:val="24"/>
                <w:lang w:eastAsia="zh-CN"/>
              </w:rPr>
            </w:pPr>
          </w:p>
        </w:tc>
        <w:tc>
          <w:tcPr>
            <w:tcW w:w="4695" w:type="dxa"/>
            <w:tcBorders>
              <w:top w:val="single" w:color="000000" w:sz="4" w:space="0"/>
              <w:left w:val="single" w:color="000000" w:sz="4" w:space="0"/>
              <w:bottom w:val="single" w:color="000000" w:sz="4" w:space="0"/>
              <w:right w:val="single" w:color="000000" w:sz="4" w:space="0"/>
            </w:tcBorders>
            <w:vAlign w:val="center"/>
          </w:tcPr>
          <w:p w14:paraId="03CA7EE6">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pacing w:val="-71"/>
                <w:sz w:val="24"/>
                <w:szCs w:val="24"/>
              </w:rPr>
              <w:t xml:space="preserve"> </w:t>
            </w:r>
            <w:r>
              <w:rPr>
                <w:rFonts w:hint="eastAsia" w:ascii="宋体" w:hAnsi="宋体" w:eastAsia="宋体" w:cs="宋体"/>
                <w:sz w:val="24"/>
                <w:szCs w:val="24"/>
              </w:rPr>
              <w:t>级</w:t>
            </w:r>
          </w:p>
        </w:tc>
      </w:tr>
      <w:tr w14:paraId="52219632">
        <w:tblPrEx>
          <w:tblCellMar>
            <w:top w:w="0" w:type="dxa"/>
            <w:left w:w="0" w:type="dxa"/>
            <w:bottom w:w="0" w:type="dxa"/>
            <w:right w:w="0" w:type="dxa"/>
          </w:tblCellMar>
        </w:tblPrEx>
        <w:trPr>
          <w:trHeight w:val="488" w:hRule="exact"/>
        </w:trPr>
        <w:tc>
          <w:tcPr>
            <w:tcW w:w="1020" w:type="dxa"/>
            <w:tcBorders>
              <w:top w:val="single" w:color="000000" w:sz="4" w:space="0"/>
              <w:left w:val="single" w:color="000000" w:sz="4" w:space="0"/>
              <w:bottom w:val="single" w:color="000000" w:sz="4" w:space="0"/>
              <w:right w:val="single" w:color="000000" w:sz="4" w:space="0"/>
            </w:tcBorders>
            <w:vAlign w:val="center"/>
          </w:tcPr>
          <w:p w14:paraId="7C9189A6">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20</w:t>
            </w:r>
          </w:p>
        </w:tc>
        <w:tc>
          <w:tcPr>
            <w:tcW w:w="2955" w:type="dxa"/>
            <w:tcBorders>
              <w:top w:val="single" w:color="000000" w:sz="4" w:space="0"/>
              <w:left w:val="single" w:color="000000" w:sz="4" w:space="0"/>
              <w:bottom w:val="single" w:color="000000" w:sz="4" w:space="0"/>
              <w:right w:val="single" w:color="000000" w:sz="4" w:space="0"/>
            </w:tcBorders>
            <w:vAlign w:val="center"/>
          </w:tcPr>
          <w:p w14:paraId="649418C6">
            <w:pPr>
              <w:pStyle w:val="343"/>
              <w:kinsoku w:val="0"/>
              <w:overflowPunct w:val="0"/>
              <w:jc w:val="center"/>
              <w:rPr>
                <w:rFonts w:hint="eastAsia" w:ascii="宋体" w:hAnsi="宋体" w:eastAsia="宋体" w:cs="宋体"/>
                <w:sz w:val="24"/>
                <w:szCs w:val="24"/>
                <w:lang w:eastAsia="zh-CN"/>
              </w:rPr>
            </w:pPr>
            <w:r>
              <w:rPr>
                <w:rFonts w:hint="eastAsia" w:ascii="宋体" w:hAnsi="宋体" w:eastAsia="宋体" w:cs="宋体"/>
                <w:spacing w:val="-2"/>
                <w:sz w:val="24"/>
                <w:szCs w:val="24"/>
                <w:lang w:eastAsia="zh-CN"/>
              </w:rPr>
              <w:t>电快速瞬变脉冲群抗</w:t>
            </w:r>
            <w:r>
              <w:rPr>
                <w:rFonts w:hint="eastAsia" w:ascii="宋体" w:hAnsi="宋体" w:eastAsia="宋体" w:cs="宋体"/>
                <w:spacing w:val="-127"/>
                <w:sz w:val="24"/>
                <w:szCs w:val="24"/>
                <w:lang w:eastAsia="zh-CN"/>
              </w:rPr>
              <w:t xml:space="preserve"> </w:t>
            </w:r>
            <w:r>
              <w:rPr>
                <w:rFonts w:hint="eastAsia" w:ascii="宋体" w:hAnsi="宋体" w:eastAsia="宋体" w:cs="宋体"/>
                <w:sz w:val="24"/>
                <w:szCs w:val="24"/>
                <w:lang w:eastAsia="zh-CN"/>
              </w:rPr>
              <w:t>扰度</w:t>
            </w:r>
          </w:p>
        </w:tc>
        <w:tc>
          <w:tcPr>
            <w:tcW w:w="1035" w:type="dxa"/>
            <w:tcBorders>
              <w:top w:val="single" w:color="000000" w:sz="4" w:space="0"/>
              <w:left w:val="single" w:color="000000" w:sz="4" w:space="0"/>
              <w:bottom w:val="single" w:color="000000" w:sz="4" w:space="0"/>
              <w:right w:val="single" w:color="000000" w:sz="4" w:space="0"/>
            </w:tcBorders>
            <w:vAlign w:val="center"/>
          </w:tcPr>
          <w:p w14:paraId="5CC6EF0E">
            <w:pPr>
              <w:pStyle w:val="343"/>
              <w:kinsoku w:val="0"/>
              <w:overflowPunct w:val="0"/>
              <w:jc w:val="center"/>
              <w:rPr>
                <w:rFonts w:hint="eastAsia" w:ascii="宋体" w:hAnsi="宋体" w:eastAsia="宋体" w:cs="宋体"/>
                <w:sz w:val="24"/>
                <w:szCs w:val="24"/>
                <w:lang w:eastAsia="zh-CN"/>
              </w:rPr>
            </w:pPr>
          </w:p>
        </w:tc>
        <w:tc>
          <w:tcPr>
            <w:tcW w:w="4695" w:type="dxa"/>
            <w:tcBorders>
              <w:top w:val="single" w:color="000000" w:sz="4" w:space="0"/>
              <w:left w:val="single" w:color="000000" w:sz="4" w:space="0"/>
              <w:bottom w:val="single" w:color="000000" w:sz="4" w:space="0"/>
              <w:right w:val="single" w:color="000000" w:sz="4" w:space="0"/>
            </w:tcBorders>
            <w:vAlign w:val="center"/>
          </w:tcPr>
          <w:p w14:paraId="362E98CC">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pacing w:val="-71"/>
                <w:sz w:val="24"/>
                <w:szCs w:val="24"/>
              </w:rPr>
              <w:t xml:space="preserve"> </w:t>
            </w:r>
            <w:r>
              <w:rPr>
                <w:rFonts w:hint="eastAsia" w:ascii="宋体" w:hAnsi="宋体" w:eastAsia="宋体" w:cs="宋体"/>
                <w:sz w:val="24"/>
                <w:szCs w:val="24"/>
              </w:rPr>
              <w:t>级</w:t>
            </w:r>
          </w:p>
        </w:tc>
      </w:tr>
      <w:tr w14:paraId="55E71D10">
        <w:tblPrEx>
          <w:tblCellMar>
            <w:top w:w="0" w:type="dxa"/>
            <w:left w:w="0" w:type="dxa"/>
            <w:bottom w:w="0" w:type="dxa"/>
            <w:right w:w="0" w:type="dxa"/>
          </w:tblCellMar>
        </w:tblPrEx>
        <w:trPr>
          <w:trHeight w:val="488" w:hRule="exact"/>
        </w:trPr>
        <w:tc>
          <w:tcPr>
            <w:tcW w:w="1020" w:type="dxa"/>
            <w:tcBorders>
              <w:top w:val="single" w:color="000000" w:sz="4" w:space="0"/>
              <w:left w:val="single" w:color="000000" w:sz="4" w:space="0"/>
              <w:bottom w:val="single" w:color="000000" w:sz="4" w:space="0"/>
              <w:right w:val="single" w:color="000000" w:sz="4" w:space="0"/>
            </w:tcBorders>
            <w:vAlign w:val="center"/>
          </w:tcPr>
          <w:p w14:paraId="4FD9EFD9">
            <w:pPr>
              <w:pStyle w:val="343"/>
              <w:kinsoku w:val="0"/>
              <w:overflowPunct w:val="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2</w:t>
            </w:r>
            <w:r>
              <w:rPr>
                <w:rFonts w:hint="eastAsia" w:ascii="宋体" w:hAnsi="宋体" w:eastAsia="宋体" w:cs="宋体"/>
                <w:sz w:val="24"/>
                <w:szCs w:val="24"/>
                <w:lang w:eastAsia="zh-CN"/>
              </w:rPr>
              <w:t>1</w:t>
            </w:r>
          </w:p>
        </w:tc>
        <w:tc>
          <w:tcPr>
            <w:tcW w:w="2955" w:type="dxa"/>
            <w:tcBorders>
              <w:top w:val="single" w:color="000000" w:sz="4" w:space="0"/>
              <w:left w:val="single" w:color="000000" w:sz="4" w:space="0"/>
              <w:bottom w:val="single" w:color="000000" w:sz="4" w:space="0"/>
              <w:right w:val="single" w:color="000000" w:sz="4" w:space="0"/>
            </w:tcBorders>
            <w:vAlign w:val="center"/>
          </w:tcPr>
          <w:p w14:paraId="1A6170BF">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浪涌（冲击）抗扰度</w:t>
            </w:r>
          </w:p>
        </w:tc>
        <w:tc>
          <w:tcPr>
            <w:tcW w:w="1035" w:type="dxa"/>
            <w:tcBorders>
              <w:top w:val="single" w:color="000000" w:sz="4" w:space="0"/>
              <w:left w:val="single" w:color="000000" w:sz="4" w:space="0"/>
              <w:bottom w:val="single" w:color="000000" w:sz="4" w:space="0"/>
              <w:right w:val="single" w:color="000000" w:sz="4" w:space="0"/>
            </w:tcBorders>
            <w:vAlign w:val="center"/>
          </w:tcPr>
          <w:p w14:paraId="46889623">
            <w:pPr>
              <w:pStyle w:val="343"/>
              <w:kinsoku w:val="0"/>
              <w:overflowPunct w:val="0"/>
              <w:jc w:val="center"/>
              <w:rPr>
                <w:rFonts w:hint="eastAsia" w:ascii="宋体" w:hAnsi="宋体" w:eastAsia="宋体" w:cs="宋体"/>
                <w:sz w:val="24"/>
                <w:szCs w:val="24"/>
              </w:rPr>
            </w:pPr>
          </w:p>
        </w:tc>
        <w:tc>
          <w:tcPr>
            <w:tcW w:w="4695" w:type="dxa"/>
            <w:tcBorders>
              <w:top w:val="single" w:color="000000" w:sz="4" w:space="0"/>
              <w:left w:val="single" w:color="000000" w:sz="4" w:space="0"/>
              <w:bottom w:val="single" w:color="000000" w:sz="4" w:space="0"/>
              <w:right w:val="single" w:color="000000" w:sz="4" w:space="0"/>
            </w:tcBorders>
            <w:vAlign w:val="center"/>
          </w:tcPr>
          <w:p w14:paraId="2EBD8C35">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pacing w:val="-71"/>
                <w:sz w:val="24"/>
                <w:szCs w:val="24"/>
              </w:rPr>
              <w:t xml:space="preserve"> </w:t>
            </w:r>
            <w:r>
              <w:rPr>
                <w:rFonts w:hint="eastAsia" w:ascii="宋体" w:hAnsi="宋体" w:eastAsia="宋体" w:cs="宋体"/>
                <w:sz w:val="24"/>
                <w:szCs w:val="24"/>
              </w:rPr>
              <w:t>级</w:t>
            </w:r>
          </w:p>
        </w:tc>
      </w:tr>
      <w:tr w14:paraId="0DE851CB">
        <w:tblPrEx>
          <w:tblCellMar>
            <w:top w:w="0" w:type="dxa"/>
            <w:left w:w="0" w:type="dxa"/>
            <w:bottom w:w="0" w:type="dxa"/>
            <w:right w:w="0" w:type="dxa"/>
          </w:tblCellMar>
        </w:tblPrEx>
        <w:trPr>
          <w:trHeight w:val="488" w:hRule="exact"/>
        </w:trPr>
        <w:tc>
          <w:tcPr>
            <w:tcW w:w="1020" w:type="dxa"/>
            <w:tcBorders>
              <w:top w:val="single" w:color="000000" w:sz="4" w:space="0"/>
              <w:left w:val="single" w:color="000000" w:sz="4" w:space="0"/>
              <w:bottom w:val="single" w:color="000000" w:sz="4" w:space="0"/>
              <w:right w:val="single" w:color="000000" w:sz="4" w:space="0"/>
            </w:tcBorders>
            <w:vAlign w:val="center"/>
          </w:tcPr>
          <w:p w14:paraId="05255936">
            <w:pPr>
              <w:pStyle w:val="343"/>
              <w:kinsoku w:val="0"/>
              <w:overflowPunct w:val="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2</w:t>
            </w:r>
            <w:r>
              <w:rPr>
                <w:rFonts w:hint="eastAsia" w:ascii="宋体" w:hAnsi="宋体" w:eastAsia="宋体" w:cs="宋体"/>
                <w:sz w:val="24"/>
                <w:szCs w:val="24"/>
                <w:lang w:eastAsia="zh-CN"/>
              </w:rPr>
              <w:t>2</w:t>
            </w:r>
          </w:p>
        </w:tc>
        <w:tc>
          <w:tcPr>
            <w:tcW w:w="2955" w:type="dxa"/>
            <w:tcBorders>
              <w:top w:val="single" w:color="000000" w:sz="4" w:space="0"/>
              <w:left w:val="single" w:color="000000" w:sz="4" w:space="0"/>
              <w:bottom w:val="single" w:color="000000" w:sz="4" w:space="0"/>
              <w:right w:val="single" w:color="000000" w:sz="4" w:space="0"/>
            </w:tcBorders>
            <w:vAlign w:val="center"/>
          </w:tcPr>
          <w:p w14:paraId="648F0442">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防护等级</w:t>
            </w:r>
          </w:p>
        </w:tc>
        <w:tc>
          <w:tcPr>
            <w:tcW w:w="1035" w:type="dxa"/>
            <w:tcBorders>
              <w:top w:val="single" w:color="000000" w:sz="4" w:space="0"/>
              <w:left w:val="single" w:color="000000" w:sz="4" w:space="0"/>
              <w:bottom w:val="single" w:color="000000" w:sz="4" w:space="0"/>
              <w:right w:val="single" w:color="000000" w:sz="4" w:space="0"/>
            </w:tcBorders>
            <w:vAlign w:val="center"/>
          </w:tcPr>
          <w:p w14:paraId="1EB8E52E">
            <w:pPr>
              <w:pStyle w:val="343"/>
              <w:kinsoku w:val="0"/>
              <w:overflowPunct w:val="0"/>
              <w:jc w:val="center"/>
              <w:rPr>
                <w:rFonts w:hint="eastAsia" w:ascii="宋体" w:hAnsi="宋体" w:eastAsia="宋体" w:cs="宋体"/>
                <w:sz w:val="24"/>
                <w:szCs w:val="24"/>
              </w:rPr>
            </w:pPr>
          </w:p>
        </w:tc>
        <w:tc>
          <w:tcPr>
            <w:tcW w:w="4695" w:type="dxa"/>
            <w:tcBorders>
              <w:top w:val="single" w:color="000000" w:sz="4" w:space="0"/>
              <w:left w:val="single" w:color="000000" w:sz="4" w:space="0"/>
              <w:bottom w:val="single" w:color="000000" w:sz="4" w:space="0"/>
              <w:right w:val="single" w:color="000000" w:sz="4" w:space="0"/>
            </w:tcBorders>
            <w:vAlign w:val="center"/>
          </w:tcPr>
          <w:p w14:paraId="1AB927FA">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IP54</w:t>
            </w:r>
          </w:p>
        </w:tc>
      </w:tr>
      <w:tr w14:paraId="3836081E">
        <w:tblPrEx>
          <w:tblCellMar>
            <w:top w:w="0" w:type="dxa"/>
            <w:left w:w="0" w:type="dxa"/>
            <w:bottom w:w="0" w:type="dxa"/>
            <w:right w:w="0" w:type="dxa"/>
          </w:tblCellMar>
        </w:tblPrEx>
        <w:trPr>
          <w:trHeight w:val="718" w:hRule="exact"/>
        </w:trPr>
        <w:tc>
          <w:tcPr>
            <w:tcW w:w="1020" w:type="dxa"/>
            <w:tcBorders>
              <w:top w:val="single" w:color="000000" w:sz="4" w:space="0"/>
              <w:left w:val="single" w:color="000000" w:sz="4" w:space="0"/>
              <w:bottom w:val="single" w:color="000000" w:sz="4" w:space="0"/>
              <w:right w:val="single" w:color="000000" w:sz="4" w:space="0"/>
            </w:tcBorders>
            <w:vAlign w:val="center"/>
          </w:tcPr>
          <w:p w14:paraId="78B96489">
            <w:pPr>
              <w:pStyle w:val="343"/>
              <w:kinsoku w:val="0"/>
              <w:overflowPunct w:val="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2</w:t>
            </w:r>
            <w:r>
              <w:rPr>
                <w:rFonts w:hint="eastAsia" w:ascii="宋体" w:hAnsi="宋体" w:eastAsia="宋体" w:cs="宋体"/>
                <w:sz w:val="24"/>
                <w:szCs w:val="24"/>
                <w:lang w:eastAsia="zh-CN"/>
              </w:rPr>
              <w:t>3</w:t>
            </w:r>
          </w:p>
        </w:tc>
        <w:tc>
          <w:tcPr>
            <w:tcW w:w="2955" w:type="dxa"/>
            <w:tcBorders>
              <w:top w:val="single" w:color="000000" w:sz="4" w:space="0"/>
              <w:left w:val="single" w:color="000000" w:sz="4" w:space="0"/>
              <w:bottom w:val="single" w:color="000000" w:sz="4" w:space="0"/>
              <w:right w:val="single" w:color="000000" w:sz="4" w:space="0"/>
            </w:tcBorders>
            <w:vAlign w:val="center"/>
          </w:tcPr>
          <w:p w14:paraId="6F39C992">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通信方式</w:t>
            </w:r>
          </w:p>
        </w:tc>
        <w:tc>
          <w:tcPr>
            <w:tcW w:w="1035" w:type="dxa"/>
            <w:tcBorders>
              <w:top w:val="single" w:color="000000" w:sz="4" w:space="0"/>
              <w:left w:val="single" w:color="000000" w:sz="4" w:space="0"/>
              <w:bottom w:val="single" w:color="000000" w:sz="4" w:space="0"/>
              <w:right w:val="single" w:color="000000" w:sz="4" w:space="0"/>
            </w:tcBorders>
            <w:vAlign w:val="center"/>
          </w:tcPr>
          <w:p w14:paraId="07C45BBD">
            <w:pPr>
              <w:pStyle w:val="343"/>
              <w:kinsoku w:val="0"/>
              <w:overflowPunct w:val="0"/>
              <w:jc w:val="center"/>
              <w:rPr>
                <w:rFonts w:hint="eastAsia" w:ascii="宋体" w:hAnsi="宋体" w:eastAsia="宋体" w:cs="宋体"/>
                <w:sz w:val="24"/>
                <w:szCs w:val="24"/>
              </w:rPr>
            </w:pPr>
          </w:p>
        </w:tc>
        <w:tc>
          <w:tcPr>
            <w:tcW w:w="4695" w:type="dxa"/>
            <w:tcBorders>
              <w:top w:val="single" w:color="000000" w:sz="4" w:space="0"/>
              <w:left w:val="single" w:color="000000" w:sz="4" w:space="0"/>
              <w:bottom w:val="single" w:color="000000" w:sz="4" w:space="0"/>
              <w:right w:val="single" w:color="000000" w:sz="4" w:space="0"/>
            </w:tcBorders>
            <w:vAlign w:val="center"/>
          </w:tcPr>
          <w:p w14:paraId="394DE964">
            <w:pPr>
              <w:pStyle w:val="343"/>
              <w:kinsoku w:val="0"/>
              <w:overflowPunct w:val="0"/>
              <w:jc w:val="center"/>
              <w:rPr>
                <w:rFonts w:hint="eastAsia" w:ascii="宋体" w:hAnsi="宋体" w:eastAsia="宋体" w:cs="宋体"/>
                <w:sz w:val="24"/>
                <w:szCs w:val="24"/>
                <w:lang w:eastAsia="zh-CN"/>
              </w:rPr>
            </w:pPr>
            <w:r>
              <w:rPr>
                <w:rFonts w:hint="eastAsia" w:ascii="宋体" w:hAnsi="宋体" w:eastAsia="宋体" w:cs="宋体"/>
                <w:sz w:val="24"/>
                <w:szCs w:val="24"/>
              </w:rPr>
              <w:t>4G/以太网</w:t>
            </w:r>
          </w:p>
        </w:tc>
      </w:tr>
      <w:tr w14:paraId="2844BF2B">
        <w:tblPrEx>
          <w:tblCellMar>
            <w:top w:w="0" w:type="dxa"/>
            <w:left w:w="0" w:type="dxa"/>
            <w:bottom w:w="0" w:type="dxa"/>
            <w:right w:w="0" w:type="dxa"/>
          </w:tblCellMar>
        </w:tblPrEx>
        <w:trPr>
          <w:trHeight w:val="641" w:hRule="exact"/>
        </w:trPr>
        <w:tc>
          <w:tcPr>
            <w:tcW w:w="1020" w:type="dxa"/>
            <w:tcBorders>
              <w:top w:val="single" w:color="000000" w:sz="4" w:space="0"/>
              <w:left w:val="single" w:color="000000" w:sz="4" w:space="0"/>
              <w:bottom w:val="single" w:color="000000" w:sz="4" w:space="0"/>
              <w:right w:val="single" w:color="000000" w:sz="4" w:space="0"/>
            </w:tcBorders>
            <w:vAlign w:val="center"/>
          </w:tcPr>
          <w:p w14:paraId="6A13A516">
            <w:pPr>
              <w:pStyle w:val="343"/>
              <w:kinsoku w:val="0"/>
              <w:overflowPunct w:val="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2</w:t>
            </w:r>
            <w:r>
              <w:rPr>
                <w:rFonts w:hint="eastAsia" w:ascii="宋体" w:hAnsi="宋体" w:eastAsia="宋体" w:cs="宋体"/>
                <w:sz w:val="24"/>
                <w:szCs w:val="24"/>
                <w:lang w:eastAsia="zh-CN"/>
              </w:rPr>
              <w:t>4</w:t>
            </w:r>
          </w:p>
        </w:tc>
        <w:tc>
          <w:tcPr>
            <w:tcW w:w="2955" w:type="dxa"/>
            <w:tcBorders>
              <w:top w:val="single" w:color="000000" w:sz="4" w:space="0"/>
              <w:left w:val="single" w:color="000000" w:sz="4" w:space="0"/>
              <w:bottom w:val="single" w:color="000000" w:sz="4" w:space="0"/>
              <w:right w:val="single" w:color="000000" w:sz="4" w:space="0"/>
            </w:tcBorders>
            <w:vAlign w:val="center"/>
          </w:tcPr>
          <w:p w14:paraId="4614DC0D">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人机交互</w:t>
            </w:r>
          </w:p>
        </w:tc>
        <w:tc>
          <w:tcPr>
            <w:tcW w:w="1035" w:type="dxa"/>
            <w:tcBorders>
              <w:top w:val="single" w:color="000000" w:sz="4" w:space="0"/>
              <w:left w:val="single" w:color="000000" w:sz="4" w:space="0"/>
              <w:bottom w:val="single" w:color="000000" w:sz="4" w:space="0"/>
              <w:right w:val="single" w:color="000000" w:sz="4" w:space="0"/>
            </w:tcBorders>
            <w:vAlign w:val="center"/>
          </w:tcPr>
          <w:p w14:paraId="373A73A5">
            <w:pPr>
              <w:pStyle w:val="343"/>
              <w:kinsoku w:val="0"/>
              <w:overflowPunct w:val="0"/>
              <w:jc w:val="center"/>
              <w:rPr>
                <w:rFonts w:hint="eastAsia" w:ascii="宋体" w:hAnsi="宋体" w:eastAsia="宋体" w:cs="宋体"/>
                <w:sz w:val="24"/>
                <w:szCs w:val="24"/>
              </w:rPr>
            </w:pPr>
          </w:p>
        </w:tc>
        <w:tc>
          <w:tcPr>
            <w:tcW w:w="4695" w:type="dxa"/>
            <w:tcBorders>
              <w:top w:val="single" w:color="000000" w:sz="4" w:space="0"/>
              <w:left w:val="single" w:color="000000" w:sz="4" w:space="0"/>
              <w:bottom w:val="single" w:color="000000" w:sz="4" w:space="0"/>
              <w:right w:val="single" w:color="000000" w:sz="4" w:space="0"/>
            </w:tcBorders>
            <w:vAlign w:val="center"/>
          </w:tcPr>
          <w:p w14:paraId="736A1FFF">
            <w:pPr>
              <w:pStyle w:val="343"/>
              <w:kinsoku w:val="0"/>
              <w:overflowPunct w:val="0"/>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4.3寸</w:t>
            </w:r>
            <w:r>
              <w:rPr>
                <w:rFonts w:hint="eastAsia" w:ascii="宋体" w:hAnsi="宋体" w:eastAsia="宋体" w:cs="宋体"/>
                <w:sz w:val="24"/>
                <w:szCs w:val="24"/>
                <w:lang w:eastAsia="zh-CN"/>
              </w:rPr>
              <w:t>彩色液晶显示屏</w:t>
            </w:r>
          </w:p>
          <w:p w14:paraId="42B3DE9D">
            <w:pPr>
              <w:pStyle w:val="343"/>
              <w:kinsoku w:val="0"/>
              <w:overflowPunct w:val="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（触摸式）</w:t>
            </w:r>
          </w:p>
        </w:tc>
      </w:tr>
      <w:tr w14:paraId="48B0E23D">
        <w:tblPrEx>
          <w:tblCellMar>
            <w:top w:w="0" w:type="dxa"/>
            <w:left w:w="0" w:type="dxa"/>
            <w:bottom w:w="0" w:type="dxa"/>
            <w:right w:w="0" w:type="dxa"/>
          </w:tblCellMar>
        </w:tblPrEx>
        <w:trPr>
          <w:trHeight w:val="641" w:hRule="exact"/>
        </w:trPr>
        <w:tc>
          <w:tcPr>
            <w:tcW w:w="1020" w:type="dxa"/>
            <w:tcBorders>
              <w:top w:val="single" w:color="000000" w:sz="4" w:space="0"/>
              <w:left w:val="single" w:color="000000" w:sz="4" w:space="0"/>
              <w:bottom w:val="single" w:color="000000" w:sz="4" w:space="0"/>
              <w:right w:val="single" w:color="000000" w:sz="4" w:space="0"/>
            </w:tcBorders>
            <w:vAlign w:val="center"/>
          </w:tcPr>
          <w:p w14:paraId="1DDCE4D1">
            <w:pPr>
              <w:pStyle w:val="343"/>
              <w:kinsoku w:val="0"/>
              <w:overflowPunct w:val="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2</w:t>
            </w:r>
            <w:r>
              <w:rPr>
                <w:rFonts w:hint="eastAsia" w:ascii="宋体" w:hAnsi="宋体" w:eastAsia="宋体" w:cs="宋体"/>
                <w:sz w:val="24"/>
                <w:szCs w:val="24"/>
                <w:lang w:eastAsia="zh-CN"/>
              </w:rPr>
              <w:t>5</w:t>
            </w:r>
          </w:p>
        </w:tc>
        <w:tc>
          <w:tcPr>
            <w:tcW w:w="2955" w:type="dxa"/>
            <w:tcBorders>
              <w:top w:val="single" w:color="000000" w:sz="4" w:space="0"/>
              <w:left w:val="single" w:color="000000" w:sz="4" w:space="0"/>
              <w:bottom w:val="single" w:color="000000" w:sz="4" w:space="0"/>
              <w:right w:val="single" w:color="000000" w:sz="4" w:space="0"/>
            </w:tcBorders>
            <w:vAlign w:val="center"/>
          </w:tcPr>
          <w:p w14:paraId="2558AE35">
            <w:pPr>
              <w:pStyle w:val="343"/>
              <w:kinsoku w:val="0"/>
              <w:overflowPunct w:val="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启动方式</w:t>
            </w:r>
          </w:p>
        </w:tc>
        <w:tc>
          <w:tcPr>
            <w:tcW w:w="1035" w:type="dxa"/>
            <w:tcBorders>
              <w:top w:val="single" w:color="000000" w:sz="4" w:space="0"/>
              <w:left w:val="single" w:color="000000" w:sz="4" w:space="0"/>
              <w:bottom w:val="single" w:color="000000" w:sz="4" w:space="0"/>
              <w:right w:val="single" w:color="000000" w:sz="4" w:space="0"/>
            </w:tcBorders>
            <w:vAlign w:val="center"/>
          </w:tcPr>
          <w:p w14:paraId="212FBA10">
            <w:pPr>
              <w:pStyle w:val="343"/>
              <w:kinsoku w:val="0"/>
              <w:overflowPunct w:val="0"/>
              <w:jc w:val="center"/>
              <w:rPr>
                <w:rFonts w:hint="eastAsia" w:ascii="宋体" w:hAnsi="宋体" w:eastAsia="宋体" w:cs="宋体"/>
                <w:sz w:val="24"/>
                <w:szCs w:val="24"/>
              </w:rPr>
            </w:pPr>
          </w:p>
        </w:tc>
        <w:tc>
          <w:tcPr>
            <w:tcW w:w="4695" w:type="dxa"/>
            <w:tcBorders>
              <w:top w:val="single" w:color="000000" w:sz="4" w:space="0"/>
              <w:left w:val="single" w:color="000000" w:sz="4" w:space="0"/>
              <w:bottom w:val="single" w:color="000000" w:sz="4" w:space="0"/>
              <w:right w:val="single" w:color="000000" w:sz="4" w:space="0"/>
            </w:tcBorders>
            <w:vAlign w:val="center"/>
          </w:tcPr>
          <w:p w14:paraId="25880D9F">
            <w:pPr>
              <w:pStyle w:val="343"/>
              <w:kinsoku w:val="0"/>
              <w:overflowPunct w:val="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扫码/</w:t>
            </w:r>
            <w:r>
              <w:rPr>
                <w:rFonts w:hint="eastAsia" w:ascii="宋体" w:hAnsi="宋体" w:eastAsia="宋体" w:cs="宋体"/>
                <w:sz w:val="24"/>
                <w:szCs w:val="24"/>
                <w:lang w:eastAsia="zh-CN"/>
              </w:rPr>
              <w:t>VIN</w:t>
            </w:r>
            <w:r>
              <w:rPr>
                <w:rFonts w:hint="eastAsia" w:ascii="宋体" w:hAnsi="宋体" w:eastAsia="宋体" w:cs="宋体"/>
                <w:sz w:val="24"/>
                <w:szCs w:val="24"/>
                <w:lang w:eastAsia="zh-CN"/>
              </w:rPr>
              <w:t>/刷卡</w:t>
            </w:r>
          </w:p>
        </w:tc>
      </w:tr>
      <w:tr w14:paraId="51925D47">
        <w:tblPrEx>
          <w:tblCellMar>
            <w:top w:w="0" w:type="dxa"/>
            <w:left w:w="0" w:type="dxa"/>
            <w:bottom w:w="0" w:type="dxa"/>
            <w:right w:w="0" w:type="dxa"/>
          </w:tblCellMar>
        </w:tblPrEx>
        <w:trPr>
          <w:trHeight w:val="641" w:hRule="exact"/>
        </w:trPr>
        <w:tc>
          <w:tcPr>
            <w:tcW w:w="1020" w:type="dxa"/>
            <w:tcBorders>
              <w:top w:val="single" w:color="000000" w:sz="4" w:space="0"/>
              <w:left w:val="single" w:color="000000" w:sz="4" w:space="0"/>
              <w:bottom w:val="single" w:color="000000" w:sz="4" w:space="0"/>
              <w:right w:val="single" w:color="000000" w:sz="4" w:space="0"/>
            </w:tcBorders>
            <w:vAlign w:val="center"/>
          </w:tcPr>
          <w:p w14:paraId="1EB23971">
            <w:pPr>
              <w:pStyle w:val="343"/>
              <w:kinsoku w:val="0"/>
              <w:overflowPunct w:val="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2</w:t>
            </w:r>
            <w:r>
              <w:rPr>
                <w:rFonts w:hint="eastAsia" w:ascii="宋体" w:hAnsi="宋体" w:eastAsia="宋体" w:cs="宋体"/>
                <w:sz w:val="24"/>
                <w:szCs w:val="24"/>
                <w:lang w:eastAsia="zh-CN"/>
              </w:rPr>
              <w:t>6</w:t>
            </w:r>
          </w:p>
        </w:tc>
        <w:tc>
          <w:tcPr>
            <w:tcW w:w="2955" w:type="dxa"/>
            <w:tcBorders>
              <w:top w:val="single" w:color="000000" w:sz="4" w:space="0"/>
              <w:left w:val="single" w:color="000000" w:sz="4" w:space="0"/>
              <w:bottom w:val="single" w:color="000000" w:sz="4" w:space="0"/>
              <w:right w:val="single" w:color="000000" w:sz="4" w:space="0"/>
            </w:tcBorders>
            <w:vAlign w:val="center"/>
          </w:tcPr>
          <w:p w14:paraId="038DEA42">
            <w:pPr>
              <w:pStyle w:val="343"/>
              <w:kinsoku w:val="0"/>
              <w:overflowPunct w:val="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外观</w:t>
            </w:r>
          </w:p>
        </w:tc>
        <w:tc>
          <w:tcPr>
            <w:tcW w:w="1035" w:type="dxa"/>
            <w:tcBorders>
              <w:top w:val="single" w:color="000000" w:sz="4" w:space="0"/>
              <w:left w:val="single" w:color="000000" w:sz="4" w:space="0"/>
              <w:bottom w:val="single" w:color="000000" w:sz="4" w:space="0"/>
              <w:right w:val="single" w:color="000000" w:sz="4" w:space="0"/>
            </w:tcBorders>
            <w:vAlign w:val="center"/>
          </w:tcPr>
          <w:p w14:paraId="62FD6308">
            <w:pPr>
              <w:pStyle w:val="343"/>
              <w:kinsoku w:val="0"/>
              <w:overflowPunct w:val="0"/>
              <w:jc w:val="center"/>
              <w:rPr>
                <w:rFonts w:hint="eastAsia" w:ascii="宋体" w:hAnsi="宋体" w:eastAsia="宋体" w:cs="宋体"/>
                <w:sz w:val="24"/>
                <w:szCs w:val="24"/>
              </w:rPr>
            </w:pPr>
          </w:p>
        </w:tc>
        <w:tc>
          <w:tcPr>
            <w:tcW w:w="4695" w:type="dxa"/>
            <w:tcBorders>
              <w:top w:val="single" w:color="000000" w:sz="4" w:space="0"/>
              <w:left w:val="single" w:color="000000" w:sz="4" w:space="0"/>
              <w:bottom w:val="single" w:color="000000" w:sz="4" w:space="0"/>
              <w:right w:val="single" w:color="000000" w:sz="4" w:space="0"/>
            </w:tcBorders>
            <w:vAlign w:val="center"/>
          </w:tcPr>
          <w:p w14:paraId="098A41A8">
            <w:pPr>
              <w:pStyle w:val="343"/>
              <w:kinsoku w:val="0"/>
              <w:overflowPunct w:val="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支持定制化外观</w:t>
            </w:r>
          </w:p>
        </w:tc>
      </w:tr>
      <w:tr w14:paraId="2AB201B7">
        <w:tblPrEx>
          <w:tblCellMar>
            <w:top w:w="0" w:type="dxa"/>
            <w:left w:w="0" w:type="dxa"/>
            <w:bottom w:w="0" w:type="dxa"/>
            <w:right w:w="0" w:type="dxa"/>
          </w:tblCellMar>
        </w:tblPrEx>
        <w:trPr>
          <w:trHeight w:val="641" w:hRule="exact"/>
        </w:trPr>
        <w:tc>
          <w:tcPr>
            <w:tcW w:w="1020" w:type="dxa"/>
            <w:tcBorders>
              <w:top w:val="single" w:color="000000" w:sz="4" w:space="0"/>
              <w:left w:val="single" w:color="000000" w:sz="4" w:space="0"/>
              <w:bottom w:val="single" w:color="000000" w:sz="4" w:space="0"/>
              <w:right w:val="single" w:color="000000" w:sz="4" w:space="0"/>
            </w:tcBorders>
            <w:vAlign w:val="center"/>
          </w:tcPr>
          <w:p w14:paraId="2EAE0AE6">
            <w:pPr>
              <w:pStyle w:val="343"/>
              <w:kinsoku w:val="0"/>
              <w:overflowPunct w:val="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2</w:t>
            </w:r>
            <w:r>
              <w:rPr>
                <w:rFonts w:hint="eastAsia" w:ascii="宋体" w:hAnsi="宋体" w:eastAsia="宋体" w:cs="宋体"/>
                <w:sz w:val="24"/>
                <w:szCs w:val="24"/>
                <w:lang w:eastAsia="zh-CN"/>
              </w:rPr>
              <w:t>7</w:t>
            </w:r>
          </w:p>
        </w:tc>
        <w:tc>
          <w:tcPr>
            <w:tcW w:w="2955" w:type="dxa"/>
            <w:tcBorders>
              <w:top w:val="single" w:color="000000" w:sz="4" w:space="0"/>
              <w:left w:val="single" w:color="000000" w:sz="4" w:space="0"/>
              <w:bottom w:val="single" w:color="000000" w:sz="4" w:space="0"/>
              <w:right w:val="single" w:color="000000" w:sz="4" w:space="0"/>
            </w:tcBorders>
            <w:vAlign w:val="center"/>
          </w:tcPr>
          <w:p w14:paraId="0BDC7A9B">
            <w:pPr>
              <w:pStyle w:val="343"/>
              <w:kinsoku w:val="0"/>
              <w:overflowPunct w:val="0"/>
              <w:jc w:val="center"/>
              <w:rPr>
                <w:rFonts w:hint="eastAsia" w:ascii="宋体" w:hAnsi="宋体" w:eastAsia="宋体" w:cs="宋体"/>
                <w:sz w:val="24"/>
                <w:szCs w:val="24"/>
                <w:lang w:eastAsia="zh-CN"/>
              </w:rPr>
            </w:pPr>
            <w:r>
              <w:rPr>
                <w:rFonts w:hint="eastAsia" w:ascii="宋体" w:hAnsi="宋体" w:eastAsia="宋体" w:cs="宋体"/>
                <w:sz w:val="24"/>
                <w:szCs w:val="24"/>
              </w:rPr>
              <w:t>柜体倾倒检测</w:t>
            </w:r>
          </w:p>
        </w:tc>
        <w:tc>
          <w:tcPr>
            <w:tcW w:w="1035" w:type="dxa"/>
            <w:tcBorders>
              <w:top w:val="single" w:color="000000" w:sz="4" w:space="0"/>
              <w:left w:val="single" w:color="000000" w:sz="4" w:space="0"/>
              <w:bottom w:val="single" w:color="000000" w:sz="4" w:space="0"/>
              <w:right w:val="single" w:color="000000" w:sz="4" w:space="0"/>
            </w:tcBorders>
            <w:vAlign w:val="center"/>
          </w:tcPr>
          <w:p w14:paraId="7507426B">
            <w:pPr>
              <w:pStyle w:val="343"/>
              <w:kinsoku w:val="0"/>
              <w:overflowPunct w:val="0"/>
              <w:jc w:val="center"/>
              <w:rPr>
                <w:rFonts w:hint="eastAsia" w:ascii="宋体" w:hAnsi="宋体" w:eastAsia="宋体" w:cs="宋体"/>
                <w:sz w:val="24"/>
                <w:szCs w:val="24"/>
              </w:rPr>
            </w:pPr>
          </w:p>
        </w:tc>
        <w:tc>
          <w:tcPr>
            <w:tcW w:w="4695" w:type="dxa"/>
            <w:tcBorders>
              <w:top w:val="single" w:color="000000" w:sz="4" w:space="0"/>
              <w:left w:val="single" w:color="000000" w:sz="4" w:space="0"/>
              <w:bottom w:val="single" w:color="000000" w:sz="4" w:space="0"/>
              <w:right w:val="single" w:color="000000" w:sz="4" w:space="0"/>
            </w:tcBorders>
            <w:vAlign w:val="center"/>
          </w:tcPr>
          <w:p w14:paraId="4CAE880A">
            <w:pPr>
              <w:pStyle w:val="343"/>
              <w:kinsoku w:val="0"/>
              <w:overflowPunct w:val="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可选配</w:t>
            </w:r>
          </w:p>
        </w:tc>
      </w:tr>
    </w:tbl>
    <w:p w14:paraId="65C3649E">
      <w:pPr>
        <w:rPr>
          <w:rFonts w:hint="eastAsia" w:ascii="宋体" w:hAnsi="宋体" w:eastAsia="宋体" w:cs="宋体"/>
        </w:rPr>
      </w:pPr>
    </w:p>
    <w:p w14:paraId="1F45ECB2">
      <w:pPr>
        <w:pStyle w:val="2"/>
        <w:tabs>
          <w:tab w:val="left" w:pos="6600"/>
        </w:tabs>
        <w:kinsoku w:val="0"/>
        <w:overflowPunct w:val="0"/>
        <w:spacing w:line="360" w:lineRule="auto"/>
        <w:ind w:left="244" w:right="190" w:hanging="142"/>
        <w:rPr>
          <w:rFonts w:hint="eastAsia" w:ascii="宋体" w:hAnsi="宋体" w:eastAsia="宋体" w:cs="宋体"/>
          <w:spacing w:val="-2"/>
        </w:rPr>
      </w:pPr>
      <w:r>
        <w:rPr>
          <w:rFonts w:hint="eastAsia" w:ascii="宋体" w:hAnsi="宋体" w:eastAsia="宋体" w:cs="宋体"/>
          <w:spacing w:val="-2"/>
        </w:rPr>
        <w:t>产品在下列环境使用条件应满足可靠运行</w:t>
      </w:r>
    </w:p>
    <w:p w14:paraId="462382D9">
      <w:pPr>
        <w:pStyle w:val="2"/>
        <w:kinsoku w:val="0"/>
        <w:overflowPunct w:val="0"/>
        <w:spacing w:line="360" w:lineRule="auto"/>
        <w:ind w:firstLine="240" w:firstLineChars="100"/>
        <w:rPr>
          <w:rFonts w:hint="eastAsia" w:ascii="宋体" w:hAnsi="宋体" w:eastAsia="宋体" w:cs="宋体"/>
        </w:rPr>
      </w:pPr>
      <w:r>
        <w:rPr>
          <w:rFonts w:hint="eastAsia" w:ascii="宋体" w:hAnsi="宋体" w:eastAsia="宋体" w:cs="宋体"/>
        </w:rPr>
        <w:t>（</w:t>
      </w:r>
      <w:r>
        <w:rPr>
          <w:rFonts w:hint="eastAsia" w:ascii="宋体" w:hAnsi="宋体" w:eastAsia="宋体" w:cs="宋体"/>
        </w:rPr>
        <w:t>1</w:t>
      </w:r>
      <w:r>
        <w:rPr>
          <w:rFonts w:hint="eastAsia" w:ascii="宋体" w:hAnsi="宋体" w:eastAsia="宋体" w:cs="宋体"/>
        </w:rPr>
        <w:t>）环境温度：</w:t>
      </w:r>
      <w:r>
        <w:rPr>
          <w:rFonts w:hint="eastAsia" w:ascii="宋体" w:hAnsi="宋体" w:eastAsia="宋体" w:cs="宋体"/>
        </w:rPr>
        <w:t>-20</w:t>
      </w:r>
      <w:r>
        <w:rPr>
          <w:rFonts w:hint="eastAsia" w:ascii="宋体" w:hAnsi="宋体" w:eastAsia="宋体" w:cs="宋体"/>
        </w:rPr>
        <w:t>℃～</w:t>
      </w:r>
      <w:r>
        <w:rPr>
          <w:rFonts w:hint="eastAsia" w:ascii="宋体" w:hAnsi="宋体" w:eastAsia="宋体" w:cs="宋体"/>
        </w:rPr>
        <w:t>50</w:t>
      </w:r>
      <w:r>
        <w:rPr>
          <w:rFonts w:hint="eastAsia" w:ascii="宋体" w:hAnsi="宋体" w:eastAsia="宋体" w:cs="宋体"/>
        </w:rPr>
        <w:t>℃；</w:t>
      </w:r>
    </w:p>
    <w:p w14:paraId="033E8D7F">
      <w:pPr>
        <w:pStyle w:val="2"/>
        <w:kinsoku w:val="0"/>
        <w:overflowPunct w:val="0"/>
        <w:spacing w:line="360" w:lineRule="auto"/>
        <w:ind w:firstLine="240" w:firstLineChars="100"/>
        <w:rPr>
          <w:rFonts w:hint="eastAsia" w:ascii="宋体" w:hAnsi="宋体" w:eastAsia="宋体" w:cs="宋体"/>
        </w:rPr>
      </w:pPr>
      <w:r>
        <w:rPr>
          <w:rFonts w:hint="eastAsia" w:ascii="宋体" w:hAnsi="宋体" w:eastAsia="宋体" w:cs="宋体"/>
        </w:rPr>
        <w:t>（</w:t>
      </w:r>
      <w:r>
        <w:rPr>
          <w:rFonts w:hint="eastAsia" w:ascii="宋体" w:hAnsi="宋体" w:eastAsia="宋体" w:cs="宋体"/>
        </w:rPr>
        <w:t>2</w:t>
      </w:r>
      <w:r>
        <w:rPr>
          <w:rFonts w:hint="eastAsia" w:ascii="宋体" w:hAnsi="宋体" w:eastAsia="宋体" w:cs="宋体"/>
        </w:rPr>
        <w:t>）相对湿度：</w:t>
      </w:r>
      <w:r>
        <w:rPr>
          <w:rFonts w:hint="eastAsia" w:ascii="宋体" w:hAnsi="宋体" w:eastAsia="宋体" w:cs="宋体"/>
        </w:rPr>
        <w:t>5</w:t>
      </w:r>
      <w:r>
        <w:rPr>
          <w:rFonts w:hint="eastAsia" w:ascii="宋体" w:hAnsi="宋体" w:eastAsia="宋体" w:cs="宋体"/>
        </w:rPr>
        <w:t>％～</w:t>
      </w:r>
      <w:r>
        <w:rPr>
          <w:rFonts w:hint="eastAsia" w:ascii="宋体" w:hAnsi="宋体" w:eastAsia="宋体" w:cs="宋体"/>
        </w:rPr>
        <w:t>95</w:t>
      </w:r>
      <w:r>
        <w:rPr>
          <w:rFonts w:hint="eastAsia" w:ascii="宋体" w:hAnsi="宋体" w:eastAsia="宋体" w:cs="宋体"/>
        </w:rPr>
        <w:t>％；</w:t>
      </w:r>
    </w:p>
    <w:p w14:paraId="164DE1F1">
      <w:pPr>
        <w:pStyle w:val="2"/>
        <w:kinsoku w:val="0"/>
        <w:overflowPunct w:val="0"/>
        <w:spacing w:line="360" w:lineRule="auto"/>
        <w:ind w:firstLine="240" w:firstLineChars="100"/>
        <w:rPr>
          <w:rFonts w:hint="eastAsia" w:ascii="宋体" w:hAnsi="宋体" w:eastAsia="宋体" w:cs="宋体"/>
        </w:rPr>
      </w:pPr>
      <w:r>
        <w:rPr>
          <w:rFonts w:hint="eastAsia" w:ascii="宋体" w:hAnsi="宋体" w:eastAsia="宋体" w:cs="宋体"/>
        </w:rPr>
        <w:t>（</w:t>
      </w:r>
      <w:r>
        <w:rPr>
          <w:rFonts w:hint="eastAsia" w:ascii="宋体" w:hAnsi="宋体" w:eastAsia="宋体" w:cs="宋体"/>
        </w:rPr>
        <w:t>3</w:t>
      </w:r>
      <w:r>
        <w:rPr>
          <w:rFonts w:hint="eastAsia" w:ascii="宋体" w:hAnsi="宋体" w:eastAsia="宋体" w:cs="宋体"/>
        </w:rPr>
        <w:t>）海拔高度：≤</w:t>
      </w:r>
      <w:r>
        <w:rPr>
          <w:rFonts w:hint="eastAsia" w:ascii="宋体" w:hAnsi="宋体" w:eastAsia="宋体" w:cs="宋体"/>
        </w:rPr>
        <w:t>2000m</w:t>
      </w:r>
      <w:r>
        <w:rPr>
          <w:rFonts w:hint="eastAsia" w:ascii="宋体" w:hAnsi="宋体" w:eastAsia="宋体" w:cs="宋体"/>
        </w:rPr>
        <w:t>；</w:t>
      </w:r>
    </w:p>
    <w:p w14:paraId="0A0EB02C">
      <w:pPr>
        <w:pStyle w:val="2"/>
        <w:kinsoku w:val="0"/>
        <w:overflowPunct w:val="0"/>
        <w:spacing w:line="360" w:lineRule="auto"/>
        <w:ind w:firstLine="236" w:firstLineChars="100"/>
        <w:rPr>
          <w:rFonts w:hint="eastAsia" w:ascii="宋体" w:hAnsi="宋体" w:eastAsia="宋体" w:cs="宋体"/>
          <w:spacing w:val="-2"/>
        </w:rPr>
      </w:pPr>
      <w:r>
        <w:rPr>
          <w:rFonts w:hint="eastAsia" w:ascii="宋体" w:hAnsi="宋体" w:eastAsia="宋体" w:cs="宋体"/>
          <w:spacing w:val="-2"/>
        </w:rPr>
        <w:t>（</w:t>
      </w:r>
      <w:r>
        <w:rPr>
          <w:rFonts w:hint="eastAsia" w:ascii="宋体" w:hAnsi="宋体" w:eastAsia="宋体" w:cs="宋体"/>
          <w:spacing w:val="-2"/>
        </w:rPr>
        <w:t>4</w:t>
      </w:r>
      <w:r>
        <w:rPr>
          <w:rFonts w:hint="eastAsia" w:ascii="宋体" w:hAnsi="宋体" w:eastAsia="宋体" w:cs="宋体"/>
          <w:spacing w:val="-2"/>
        </w:rPr>
        <w:t>）大气压强：</w:t>
      </w:r>
      <w:r>
        <w:rPr>
          <w:rFonts w:hint="eastAsia" w:ascii="宋体" w:hAnsi="宋体" w:eastAsia="宋体" w:cs="宋体"/>
          <w:spacing w:val="-2"/>
        </w:rPr>
        <w:t>80kPa</w:t>
      </w:r>
      <w:r>
        <w:rPr>
          <w:rFonts w:hint="eastAsia" w:ascii="宋体" w:hAnsi="宋体" w:eastAsia="宋体" w:cs="宋体"/>
          <w:spacing w:val="-2"/>
        </w:rPr>
        <w:t>～</w:t>
      </w:r>
      <w:r>
        <w:rPr>
          <w:rFonts w:hint="eastAsia" w:ascii="宋体" w:hAnsi="宋体" w:eastAsia="宋体" w:cs="宋体"/>
          <w:spacing w:val="-2"/>
        </w:rPr>
        <w:t>110kPa</w:t>
      </w:r>
      <w:r>
        <w:rPr>
          <w:rFonts w:hint="eastAsia" w:ascii="宋体" w:hAnsi="宋体" w:eastAsia="宋体" w:cs="宋体"/>
          <w:spacing w:val="-2"/>
        </w:rPr>
        <w:t>。</w:t>
      </w:r>
      <w:bookmarkStart w:id="6" w:name="3、电源及辅助电源条件"/>
      <w:bookmarkEnd w:id="6"/>
    </w:p>
    <w:p w14:paraId="65EE8362">
      <w:pPr>
        <w:pStyle w:val="8"/>
        <w:keepNext/>
        <w:keepLines/>
        <w:pageBreakBefore w:val="0"/>
        <w:widowControl w:val="0"/>
        <w:kinsoku/>
        <w:wordWrap/>
        <w:overflowPunct/>
        <w:topLinePunct w:val="0"/>
        <w:autoSpaceDE/>
        <w:autoSpaceDN/>
        <w:bidi w:val="0"/>
        <w:adjustRightInd/>
        <w:snapToGrid/>
        <w:spacing w:before="0" w:after="0" w:line="360" w:lineRule="auto"/>
        <w:ind w:right="2874"/>
        <w:textAlignment w:val="auto"/>
        <w:rPr>
          <w:rFonts w:hint="eastAsia" w:ascii="宋体" w:hAnsi="宋体" w:eastAsia="宋体" w:cs="宋体"/>
          <w:sz w:val="24"/>
        </w:rPr>
      </w:pPr>
      <w:r>
        <w:rPr>
          <w:rFonts w:hint="eastAsia" w:ascii="宋体" w:hAnsi="宋体" w:eastAsia="宋体" w:cs="宋体"/>
          <w:sz w:val="24"/>
        </w:rPr>
        <w:t xml:space="preserve">3.3  </w:t>
      </w:r>
      <w:r>
        <w:rPr>
          <w:rFonts w:hint="eastAsia" w:ascii="宋体" w:hAnsi="宋体" w:eastAsia="宋体" w:cs="宋体"/>
          <w:sz w:val="24"/>
        </w:rPr>
        <w:t>6</w:t>
      </w:r>
      <w:r>
        <w:rPr>
          <w:rFonts w:hint="eastAsia" w:ascii="宋体" w:hAnsi="宋体" w:eastAsia="宋体" w:cs="宋体"/>
          <w:sz w:val="24"/>
        </w:rPr>
        <w:t>0</w:t>
      </w:r>
      <w:r>
        <w:rPr>
          <w:rFonts w:hint="eastAsia" w:ascii="宋体" w:hAnsi="宋体" w:eastAsia="宋体" w:cs="宋体"/>
          <w:sz w:val="24"/>
        </w:rPr>
        <w:t>k</w:t>
      </w:r>
      <w:r>
        <w:rPr>
          <w:rFonts w:hint="eastAsia" w:ascii="宋体" w:hAnsi="宋体" w:eastAsia="宋体" w:cs="宋体"/>
          <w:sz w:val="24"/>
        </w:rPr>
        <w:t>W</w:t>
      </w:r>
      <w:r>
        <w:rPr>
          <w:rFonts w:hint="eastAsia" w:ascii="宋体" w:hAnsi="宋体" w:eastAsia="宋体" w:cs="宋体"/>
          <w:sz w:val="24"/>
        </w:rPr>
        <w:t>单枪一体式直流充电桩技术参数</w:t>
      </w:r>
    </w:p>
    <w:p w14:paraId="2808D492">
      <w:pPr>
        <w:spacing w:line="360" w:lineRule="auto"/>
        <w:ind w:firstLine="562" w:firstLineChars="200"/>
        <w:jc w:val="center"/>
        <w:rPr>
          <w:rFonts w:hint="eastAsia" w:ascii="宋体" w:hAnsi="宋体" w:eastAsia="宋体" w:cs="宋体"/>
          <w:sz w:val="28"/>
          <w:szCs w:val="28"/>
        </w:rPr>
      </w:pPr>
      <w:r>
        <w:rPr>
          <w:rFonts w:hint="eastAsia" w:ascii="宋体" w:hAnsi="宋体" w:eastAsia="宋体" w:cs="宋体"/>
          <w:b/>
          <w:bCs/>
          <w:sz w:val="28"/>
          <w:szCs w:val="28"/>
        </w:rPr>
        <w:t>6</w:t>
      </w:r>
      <w:r>
        <w:rPr>
          <w:rFonts w:hint="eastAsia" w:ascii="宋体" w:hAnsi="宋体" w:eastAsia="宋体" w:cs="宋体"/>
          <w:b/>
          <w:bCs/>
          <w:sz w:val="28"/>
          <w:szCs w:val="28"/>
        </w:rPr>
        <w:t>0kW</w:t>
      </w:r>
      <w:r>
        <w:rPr>
          <w:rFonts w:hint="eastAsia" w:ascii="宋体" w:hAnsi="宋体" w:eastAsia="宋体" w:cs="宋体"/>
          <w:b/>
          <w:bCs/>
          <w:spacing w:val="-85"/>
          <w:sz w:val="28"/>
          <w:szCs w:val="28"/>
        </w:rPr>
        <w:t xml:space="preserve"> </w:t>
      </w:r>
      <w:r>
        <w:rPr>
          <w:rFonts w:hint="eastAsia" w:ascii="宋体" w:hAnsi="宋体" w:eastAsia="宋体" w:cs="宋体"/>
          <w:b/>
          <w:bCs/>
          <w:sz w:val="28"/>
          <w:szCs w:val="28"/>
        </w:rPr>
        <w:t>单枪直流一体式充电机参数指标</w:t>
      </w:r>
    </w:p>
    <w:tbl>
      <w:tblPr>
        <w:tblStyle w:val="38"/>
        <w:tblW w:w="0" w:type="auto"/>
        <w:tblInd w:w="181" w:type="dxa"/>
        <w:tblLayout w:type="fixed"/>
        <w:tblCellMar>
          <w:top w:w="0" w:type="dxa"/>
          <w:left w:w="0" w:type="dxa"/>
          <w:bottom w:w="0" w:type="dxa"/>
          <w:right w:w="0" w:type="dxa"/>
        </w:tblCellMar>
      </w:tblPr>
      <w:tblGrid>
        <w:gridCol w:w="990"/>
        <w:gridCol w:w="2698"/>
        <w:gridCol w:w="1035"/>
        <w:gridCol w:w="4337"/>
      </w:tblGrid>
      <w:tr w14:paraId="198565DE">
        <w:tblPrEx>
          <w:tblCellMar>
            <w:top w:w="0" w:type="dxa"/>
            <w:left w:w="0" w:type="dxa"/>
            <w:bottom w:w="0" w:type="dxa"/>
            <w:right w:w="0" w:type="dxa"/>
          </w:tblCellMar>
        </w:tblPrEx>
        <w:trPr>
          <w:trHeight w:val="645" w:hRule="exact"/>
        </w:trPr>
        <w:tc>
          <w:tcPr>
            <w:tcW w:w="990" w:type="dxa"/>
            <w:tcBorders>
              <w:top w:val="single" w:color="000000" w:sz="4" w:space="0"/>
              <w:left w:val="single" w:color="000000" w:sz="4" w:space="0"/>
              <w:bottom w:val="single" w:color="000000" w:sz="4" w:space="0"/>
              <w:right w:val="single" w:color="000000" w:sz="4" w:space="0"/>
            </w:tcBorders>
            <w:vAlign w:val="center"/>
          </w:tcPr>
          <w:p w14:paraId="354579FC">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序号</w:t>
            </w:r>
          </w:p>
        </w:tc>
        <w:tc>
          <w:tcPr>
            <w:tcW w:w="2698" w:type="dxa"/>
            <w:tcBorders>
              <w:top w:val="single" w:color="000000" w:sz="4" w:space="0"/>
              <w:left w:val="single" w:color="000000" w:sz="4" w:space="0"/>
              <w:bottom w:val="single" w:color="000000" w:sz="4" w:space="0"/>
              <w:right w:val="single" w:color="000000" w:sz="4" w:space="0"/>
            </w:tcBorders>
            <w:vAlign w:val="center"/>
          </w:tcPr>
          <w:p w14:paraId="28758D3E">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项目</w:t>
            </w:r>
          </w:p>
        </w:tc>
        <w:tc>
          <w:tcPr>
            <w:tcW w:w="1035" w:type="dxa"/>
            <w:tcBorders>
              <w:top w:val="single" w:color="000000" w:sz="4" w:space="0"/>
              <w:left w:val="single" w:color="000000" w:sz="4" w:space="0"/>
              <w:bottom w:val="single" w:color="000000" w:sz="4" w:space="0"/>
              <w:right w:val="single" w:color="000000" w:sz="4" w:space="0"/>
            </w:tcBorders>
            <w:vAlign w:val="center"/>
          </w:tcPr>
          <w:p w14:paraId="584BB5BD">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单位</w:t>
            </w:r>
          </w:p>
        </w:tc>
        <w:tc>
          <w:tcPr>
            <w:tcW w:w="4337" w:type="dxa"/>
            <w:tcBorders>
              <w:top w:val="single" w:color="000000" w:sz="4" w:space="0"/>
              <w:left w:val="single" w:color="000000" w:sz="4" w:space="0"/>
              <w:bottom w:val="single" w:color="000000" w:sz="4" w:space="0"/>
              <w:right w:val="single" w:color="000000" w:sz="4" w:space="0"/>
            </w:tcBorders>
            <w:vAlign w:val="center"/>
          </w:tcPr>
          <w:p w14:paraId="2FEA9644">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参数要求</w:t>
            </w:r>
          </w:p>
        </w:tc>
      </w:tr>
      <w:tr w14:paraId="63C55554">
        <w:tblPrEx>
          <w:tblCellMar>
            <w:top w:w="0" w:type="dxa"/>
            <w:left w:w="0" w:type="dxa"/>
            <w:bottom w:w="0" w:type="dxa"/>
            <w:right w:w="0" w:type="dxa"/>
          </w:tblCellMar>
        </w:tblPrEx>
        <w:trPr>
          <w:trHeight w:val="534" w:hRule="exact"/>
        </w:trPr>
        <w:tc>
          <w:tcPr>
            <w:tcW w:w="990" w:type="dxa"/>
            <w:tcBorders>
              <w:top w:val="single" w:color="000000" w:sz="4" w:space="0"/>
              <w:left w:val="single" w:color="000000" w:sz="4" w:space="0"/>
              <w:bottom w:val="single" w:color="000000" w:sz="4" w:space="0"/>
              <w:right w:val="single" w:color="000000" w:sz="4" w:space="0"/>
            </w:tcBorders>
            <w:vAlign w:val="center"/>
          </w:tcPr>
          <w:p w14:paraId="0814F2B5">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1</w:t>
            </w:r>
          </w:p>
        </w:tc>
        <w:tc>
          <w:tcPr>
            <w:tcW w:w="2698" w:type="dxa"/>
            <w:tcBorders>
              <w:top w:val="single" w:color="000000" w:sz="4" w:space="0"/>
              <w:left w:val="single" w:color="000000" w:sz="4" w:space="0"/>
              <w:bottom w:val="single" w:color="000000" w:sz="4" w:space="0"/>
              <w:right w:val="single" w:color="000000" w:sz="4" w:space="0"/>
            </w:tcBorders>
            <w:vAlign w:val="center"/>
          </w:tcPr>
          <w:p w14:paraId="41937AD2">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lang w:eastAsia="zh-CN"/>
              </w:rPr>
              <w:t>额定功率</w:t>
            </w:r>
          </w:p>
        </w:tc>
        <w:tc>
          <w:tcPr>
            <w:tcW w:w="1035" w:type="dxa"/>
            <w:tcBorders>
              <w:top w:val="single" w:color="000000" w:sz="4" w:space="0"/>
              <w:left w:val="single" w:color="000000" w:sz="4" w:space="0"/>
              <w:bottom w:val="single" w:color="000000" w:sz="4" w:space="0"/>
              <w:right w:val="single" w:color="000000" w:sz="4" w:space="0"/>
            </w:tcBorders>
            <w:vAlign w:val="center"/>
          </w:tcPr>
          <w:p w14:paraId="4F04E4CA">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lang w:eastAsia="zh-CN"/>
              </w:rPr>
              <w:t>k</w:t>
            </w:r>
            <w:r>
              <w:rPr>
                <w:rFonts w:hint="eastAsia" w:ascii="宋体" w:hAnsi="宋体" w:eastAsia="宋体" w:cs="宋体"/>
                <w:sz w:val="24"/>
                <w:szCs w:val="24"/>
              </w:rPr>
              <w:t>W</w:t>
            </w:r>
          </w:p>
        </w:tc>
        <w:tc>
          <w:tcPr>
            <w:tcW w:w="4337" w:type="dxa"/>
            <w:tcBorders>
              <w:top w:val="single" w:color="000000" w:sz="4" w:space="0"/>
              <w:left w:val="single" w:color="000000" w:sz="4" w:space="0"/>
              <w:bottom w:val="single" w:color="000000" w:sz="4" w:space="0"/>
              <w:right w:val="single" w:color="000000" w:sz="4" w:space="0"/>
            </w:tcBorders>
            <w:vAlign w:val="center"/>
          </w:tcPr>
          <w:p w14:paraId="275945BF">
            <w:pPr>
              <w:pStyle w:val="343"/>
              <w:kinsoku w:val="0"/>
              <w:overflowPunct w:val="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60</w:t>
            </w:r>
          </w:p>
        </w:tc>
      </w:tr>
      <w:tr w14:paraId="2F27E9D4">
        <w:tblPrEx>
          <w:tblCellMar>
            <w:top w:w="0" w:type="dxa"/>
            <w:left w:w="0" w:type="dxa"/>
            <w:bottom w:w="0" w:type="dxa"/>
            <w:right w:w="0" w:type="dxa"/>
          </w:tblCellMar>
        </w:tblPrEx>
        <w:trPr>
          <w:trHeight w:val="571" w:hRule="exact"/>
        </w:trPr>
        <w:tc>
          <w:tcPr>
            <w:tcW w:w="990" w:type="dxa"/>
            <w:tcBorders>
              <w:top w:val="single" w:color="000000" w:sz="4" w:space="0"/>
              <w:left w:val="single" w:color="000000" w:sz="4" w:space="0"/>
              <w:bottom w:val="single" w:color="000000" w:sz="4" w:space="0"/>
              <w:right w:val="single" w:color="000000" w:sz="4" w:space="0"/>
            </w:tcBorders>
            <w:vAlign w:val="center"/>
          </w:tcPr>
          <w:p w14:paraId="3A640BEB">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2</w:t>
            </w:r>
          </w:p>
        </w:tc>
        <w:tc>
          <w:tcPr>
            <w:tcW w:w="2698" w:type="dxa"/>
            <w:tcBorders>
              <w:top w:val="single" w:color="000000" w:sz="4" w:space="0"/>
              <w:left w:val="single" w:color="000000" w:sz="4" w:space="0"/>
              <w:bottom w:val="single" w:color="000000" w:sz="4" w:space="0"/>
              <w:right w:val="single" w:color="000000" w:sz="4" w:space="0"/>
            </w:tcBorders>
            <w:vAlign w:val="center"/>
          </w:tcPr>
          <w:p w14:paraId="7290F34A">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lang w:eastAsia="zh-CN"/>
              </w:rPr>
              <w:t>枪数</w:t>
            </w:r>
          </w:p>
        </w:tc>
        <w:tc>
          <w:tcPr>
            <w:tcW w:w="1035" w:type="dxa"/>
            <w:tcBorders>
              <w:top w:val="single" w:color="000000" w:sz="4" w:space="0"/>
              <w:left w:val="single" w:color="000000" w:sz="4" w:space="0"/>
              <w:bottom w:val="single" w:color="000000" w:sz="4" w:space="0"/>
              <w:right w:val="single" w:color="000000" w:sz="4" w:space="0"/>
            </w:tcBorders>
            <w:vAlign w:val="center"/>
          </w:tcPr>
          <w:p w14:paraId="5817123F">
            <w:pPr>
              <w:pStyle w:val="343"/>
              <w:kinsoku w:val="0"/>
              <w:overflowPunct w:val="0"/>
              <w:ind w:right="1"/>
              <w:jc w:val="center"/>
              <w:rPr>
                <w:rFonts w:hint="eastAsia" w:ascii="宋体" w:hAnsi="宋体" w:eastAsia="宋体" w:cs="宋体"/>
                <w:sz w:val="24"/>
                <w:szCs w:val="24"/>
              </w:rPr>
            </w:pPr>
            <w:r>
              <w:rPr>
                <w:rFonts w:hint="eastAsia" w:ascii="宋体" w:hAnsi="宋体" w:eastAsia="宋体" w:cs="宋体"/>
                <w:sz w:val="24"/>
                <w:szCs w:val="24"/>
                <w:lang w:eastAsia="zh-CN"/>
              </w:rPr>
              <w:t>条</w:t>
            </w:r>
          </w:p>
        </w:tc>
        <w:tc>
          <w:tcPr>
            <w:tcW w:w="4337" w:type="dxa"/>
            <w:tcBorders>
              <w:top w:val="single" w:color="000000" w:sz="4" w:space="0"/>
              <w:left w:val="single" w:color="000000" w:sz="4" w:space="0"/>
              <w:bottom w:val="single" w:color="000000" w:sz="4" w:space="0"/>
              <w:right w:val="single" w:color="000000" w:sz="4" w:space="0"/>
            </w:tcBorders>
            <w:vAlign w:val="center"/>
          </w:tcPr>
          <w:p w14:paraId="7A2BB007">
            <w:pPr>
              <w:pStyle w:val="343"/>
              <w:kinsoku w:val="0"/>
              <w:overflowPunct w:val="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1</w:t>
            </w:r>
          </w:p>
        </w:tc>
      </w:tr>
      <w:tr w14:paraId="3DE83A12">
        <w:tblPrEx>
          <w:tblCellMar>
            <w:top w:w="0" w:type="dxa"/>
            <w:left w:w="0" w:type="dxa"/>
            <w:bottom w:w="0" w:type="dxa"/>
            <w:right w:w="0" w:type="dxa"/>
          </w:tblCellMar>
        </w:tblPrEx>
        <w:trPr>
          <w:trHeight w:val="585" w:hRule="exact"/>
        </w:trPr>
        <w:tc>
          <w:tcPr>
            <w:tcW w:w="990" w:type="dxa"/>
            <w:tcBorders>
              <w:top w:val="single" w:color="000000" w:sz="4" w:space="0"/>
              <w:left w:val="single" w:color="000000" w:sz="4" w:space="0"/>
              <w:bottom w:val="single" w:color="000000" w:sz="4" w:space="0"/>
              <w:right w:val="single" w:color="000000" w:sz="4" w:space="0"/>
            </w:tcBorders>
            <w:vAlign w:val="center"/>
          </w:tcPr>
          <w:p w14:paraId="387DD364">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3</w:t>
            </w:r>
          </w:p>
        </w:tc>
        <w:tc>
          <w:tcPr>
            <w:tcW w:w="2698" w:type="dxa"/>
            <w:tcBorders>
              <w:top w:val="single" w:color="000000" w:sz="4" w:space="0"/>
              <w:left w:val="single" w:color="000000" w:sz="4" w:space="0"/>
              <w:bottom w:val="single" w:color="000000" w:sz="4" w:space="0"/>
              <w:right w:val="single" w:color="000000" w:sz="4" w:space="0"/>
            </w:tcBorders>
            <w:vAlign w:val="center"/>
          </w:tcPr>
          <w:p w14:paraId="469A3AFA">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lang w:eastAsia="zh-CN"/>
              </w:rPr>
              <w:t>枪线长度</w:t>
            </w:r>
          </w:p>
        </w:tc>
        <w:tc>
          <w:tcPr>
            <w:tcW w:w="1035" w:type="dxa"/>
            <w:tcBorders>
              <w:top w:val="single" w:color="000000" w:sz="4" w:space="0"/>
              <w:left w:val="single" w:color="000000" w:sz="4" w:space="0"/>
              <w:bottom w:val="single" w:color="000000" w:sz="4" w:space="0"/>
              <w:right w:val="single" w:color="000000" w:sz="4" w:space="0"/>
            </w:tcBorders>
            <w:vAlign w:val="center"/>
          </w:tcPr>
          <w:p w14:paraId="251EF2E6">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lang w:eastAsia="zh-CN"/>
              </w:rPr>
              <w:t>米</w:t>
            </w:r>
          </w:p>
        </w:tc>
        <w:tc>
          <w:tcPr>
            <w:tcW w:w="4337" w:type="dxa"/>
            <w:tcBorders>
              <w:top w:val="single" w:color="000000" w:sz="4" w:space="0"/>
              <w:left w:val="single" w:color="000000" w:sz="4" w:space="0"/>
              <w:bottom w:val="single" w:color="000000" w:sz="4" w:space="0"/>
              <w:right w:val="single" w:color="000000" w:sz="4" w:space="0"/>
            </w:tcBorders>
            <w:vAlign w:val="center"/>
          </w:tcPr>
          <w:p w14:paraId="322B0E15">
            <w:pPr>
              <w:pStyle w:val="343"/>
              <w:kinsoku w:val="0"/>
              <w:overflowPunct w:val="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5</w:t>
            </w:r>
          </w:p>
        </w:tc>
      </w:tr>
      <w:tr w14:paraId="7A8A8B1F">
        <w:tblPrEx>
          <w:tblCellMar>
            <w:top w:w="0" w:type="dxa"/>
            <w:left w:w="0" w:type="dxa"/>
            <w:bottom w:w="0" w:type="dxa"/>
            <w:right w:w="0" w:type="dxa"/>
          </w:tblCellMar>
        </w:tblPrEx>
        <w:trPr>
          <w:trHeight w:val="544" w:hRule="exact"/>
        </w:trPr>
        <w:tc>
          <w:tcPr>
            <w:tcW w:w="990" w:type="dxa"/>
            <w:tcBorders>
              <w:top w:val="single" w:color="000000" w:sz="4" w:space="0"/>
              <w:left w:val="single" w:color="000000" w:sz="4" w:space="0"/>
              <w:bottom w:val="single" w:color="000000" w:sz="4" w:space="0"/>
              <w:right w:val="single" w:color="000000" w:sz="4" w:space="0"/>
            </w:tcBorders>
            <w:vAlign w:val="center"/>
          </w:tcPr>
          <w:p w14:paraId="180083AC">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4</w:t>
            </w:r>
          </w:p>
        </w:tc>
        <w:tc>
          <w:tcPr>
            <w:tcW w:w="2698" w:type="dxa"/>
            <w:tcBorders>
              <w:top w:val="single" w:color="000000" w:sz="4" w:space="0"/>
              <w:left w:val="single" w:color="000000" w:sz="4" w:space="0"/>
              <w:bottom w:val="single" w:color="000000" w:sz="4" w:space="0"/>
              <w:right w:val="single" w:color="000000" w:sz="4" w:space="0"/>
            </w:tcBorders>
            <w:vAlign w:val="center"/>
          </w:tcPr>
          <w:p w14:paraId="62831032">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lang w:eastAsia="zh-CN"/>
              </w:rPr>
              <w:t>散热方式</w:t>
            </w:r>
          </w:p>
        </w:tc>
        <w:tc>
          <w:tcPr>
            <w:tcW w:w="1035" w:type="dxa"/>
            <w:tcBorders>
              <w:top w:val="single" w:color="000000" w:sz="4" w:space="0"/>
              <w:left w:val="single" w:color="000000" w:sz="4" w:space="0"/>
              <w:bottom w:val="single" w:color="000000" w:sz="4" w:space="0"/>
              <w:right w:val="single" w:color="000000" w:sz="4" w:space="0"/>
            </w:tcBorders>
            <w:vAlign w:val="center"/>
          </w:tcPr>
          <w:p w14:paraId="7B8AD4A6">
            <w:pPr>
              <w:pStyle w:val="343"/>
              <w:kinsoku w:val="0"/>
              <w:overflowPunct w:val="0"/>
              <w:ind w:right="1"/>
              <w:jc w:val="center"/>
              <w:rPr>
                <w:rFonts w:hint="eastAsia" w:ascii="宋体" w:hAnsi="宋体" w:eastAsia="宋体" w:cs="宋体"/>
                <w:sz w:val="24"/>
                <w:szCs w:val="24"/>
              </w:rPr>
            </w:pPr>
          </w:p>
        </w:tc>
        <w:tc>
          <w:tcPr>
            <w:tcW w:w="4337" w:type="dxa"/>
            <w:tcBorders>
              <w:top w:val="single" w:color="000000" w:sz="4" w:space="0"/>
              <w:left w:val="single" w:color="000000" w:sz="4" w:space="0"/>
              <w:bottom w:val="single" w:color="000000" w:sz="4" w:space="0"/>
              <w:right w:val="single" w:color="000000" w:sz="4" w:space="0"/>
            </w:tcBorders>
            <w:vAlign w:val="center"/>
          </w:tcPr>
          <w:p w14:paraId="24E80BDB">
            <w:pPr>
              <w:pStyle w:val="343"/>
              <w:kinsoku w:val="0"/>
              <w:overflowPunct w:val="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智能风冷</w:t>
            </w:r>
          </w:p>
        </w:tc>
      </w:tr>
      <w:tr w14:paraId="3AD68E2F">
        <w:tblPrEx>
          <w:tblCellMar>
            <w:top w:w="0" w:type="dxa"/>
            <w:left w:w="0" w:type="dxa"/>
            <w:bottom w:w="0" w:type="dxa"/>
            <w:right w:w="0" w:type="dxa"/>
          </w:tblCellMar>
        </w:tblPrEx>
        <w:trPr>
          <w:trHeight w:val="553" w:hRule="exact"/>
        </w:trPr>
        <w:tc>
          <w:tcPr>
            <w:tcW w:w="990" w:type="dxa"/>
            <w:tcBorders>
              <w:top w:val="single" w:color="000000" w:sz="4" w:space="0"/>
              <w:left w:val="single" w:color="000000" w:sz="4" w:space="0"/>
              <w:bottom w:val="single" w:color="000000" w:sz="4" w:space="0"/>
              <w:right w:val="single" w:color="000000" w:sz="4" w:space="0"/>
            </w:tcBorders>
            <w:vAlign w:val="center"/>
          </w:tcPr>
          <w:p w14:paraId="53E61E63">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5</w:t>
            </w:r>
          </w:p>
        </w:tc>
        <w:tc>
          <w:tcPr>
            <w:tcW w:w="2698" w:type="dxa"/>
            <w:tcBorders>
              <w:top w:val="single" w:color="000000" w:sz="4" w:space="0"/>
              <w:left w:val="single" w:color="000000" w:sz="4" w:space="0"/>
              <w:bottom w:val="single" w:color="000000" w:sz="4" w:space="0"/>
              <w:right w:val="single" w:color="000000" w:sz="4" w:space="0"/>
            </w:tcBorders>
            <w:vAlign w:val="center"/>
          </w:tcPr>
          <w:p w14:paraId="4E993B1A">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交流输入电压</w:t>
            </w:r>
          </w:p>
        </w:tc>
        <w:tc>
          <w:tcPr>
            <w:tcW w:w="1035" w:type="dxa"/>
            <w:tcBorders>
              <w:top w:val="single" w:color="000000" w:sz="4" w:space="0"/>
              <w:left w:val="single" w:color="000000" w:sz="4" w:space="0"/>
              <w:bottom w:val="single" w:color="000000" w:sz="4" w:space="0"/>
              <w:right w:val="single" w:color="000000" w:sz="4" w:space="0"/>
            </w:tcBorders>
            <w:vAlign w:val="center"/>
          </w:tcPr>
          <w:p w14:paraId="19E54CCE">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V</w:t>
            </w:r>
          </w:p>
        </w:tc>
        <w:tc>
          <w:tcPr>
            <w:tcW w:w="4337" w:type="dxa"/>
            <w:tcBorders>
              <w:top w:val="single" w:color="000000" w:sz="4" w:space="0"/>
              <w:left w:val="single" w:color="000000" w:sz="4" w:space="0"/>
              <w:bottom w:val="single" w:color="000000" w:sz="4" w:space="0"/>
              <w:right w:val="single" w:color="000000" w:sz="4" w:space="0"/>
            </w:tcBorders>
            <w:vAlign w:val="center"/>
          </w:tcPr>
          <w:p w14:paraId="3A42CC9F">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380±15％</w:t>
            </w:r>
          </w:p>
        </w:tc>
      </w:tr>
      <w:tr w14:paraId="308FA84C">
        <w:tblPrEx>
          <w:tblCellMar>
            <w:top w:w="0" w:type="dxa"/>
            <w:left w:w="0" w:type="dxa"/>
            <w:bottom w:w="0" w:type="dxa"/>
            <w:right w:w="0" w:type="dxa"/>
          </w:tblCellMar>
        </w:tblPrEx>
        <w:trPr>
          <w:trHeight w:val="640" w:hRule="exact"/>
        </w:trPr>
        <w:tc>
          <w:tcPr>
            <w:tcW w:w="990" w:type="dxa"/>
            <w:tcBorders>
              <w:top w:val="single" w:color="000000" w:sz="4" w:space="0"/>
              <w:left w:val="single" w:color="000000" w:sz="4" w:space="0"/>
              <w:bottom w:val="single" w:color="000000" w:sz="4" w:space="0"/>
              <w:right w:val="single" w:color="000000" w:sz="4" w:space="0"/>
            </w:tcBorders>
            <w:vAlign w:val="center"/>
          </w:tcPr>
          <w:p w14:paraId="2EB915E0">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6</w:t>
            </w:r>
          </w:p>
        </w:tc>
        <w:tc>
          <w:tcPr>
            <w:tcW w:w="2698" w:type="dxa"/>
            <w:tcBorders>
              <w:top w:val="single" w:color="000000" w:sz="4" w:space="0"/>
              <w:left w:val="single" w:color="000000" w:sz="4" w:space="0"/>
              <w:bottom w:val="single" w:color="000000" w:sz="4" w:space="0"/>
              <w:right w:val="single" w:color="000000" w:sz="4" w:space="0"/>
            </w:tcBorders>
            <w:vAlign w:val="center"/>
          </w:tcPr>
          <w:p w14:paraId="45F431E1">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交流电源频率</w:t>
            </w:r>
          </w:p>
        </w:tc>
        <w:tc>
          <w:tcPr>
            <w:tcW w:w="1035" w:type="dxa"/>
            <w:tcBorders>
              <w:top w:val="single" w:color="000000" w:sz="4" w:space="0"/>
              <w:left w:val="single" w:color="000000" w:sz="4" w:space="0"/>
              <w:bottom w:val="single" w:color="000000" w:sz="4" w:space="0"/>
              <w:right w:val="single" w:color="000000" w:sz="4" w:space="0"/>
            </w:tcBorders>
            <w:vAlign w:val="center"/>
          </w:tcPr>
          <w:p w14:paraId="6D5337A2">
            <w:pPr>
              <w:jc w:val="center"/>
              <w:rPr>
                <w:rFonts w:hint="eastAsia" w:ascii="宋体" w:hAnsi="宋体" w:eastAsia="宋体" w:cs="宋体"/>
                <w:sz w:val="24"/>
                <w:szCs w:val="24"/>
              </w:rPr>
            </w:pPr>
            <w:r>
              <w:rPr>
                <w:rFonts w:hint="eastAsia" w:ascii="宋体" w:hAnsi="宋体" w:eastAsia="宋体" w:cs="宋体"/>
                <w:sz w:val="24"/>
                <w:szCs w:val="24"/>
              </w:rPr>
              <w:t>Hz</w:t>
            </w:r>
          </w:p>
        </w:tc>
        <w:tc>
          <w:tcPr>
            <w:tcW w:w="4337" w:type="dxa"/>
            <w:tcBorders>
              <w:top w:val="single" w:color="000000" w:sz="4" w:space="0"/>
              <w:left w:val="single" w:color="000000" w:sz="4" w:space="0"/>
              <w:bottom w:val="single" w:color="000000" w:sz="4" w:space="0"/>
              <w:right w:val="single" w:color="000000" w:sz="4" w:space="0"/>
            </w:tcBorders>
            <w:vAlign w:val="center"/>
          </w:tcPr>
          <w:p w14:paraId="093AD053">
            <w:pPr>
              <w:pStyle w:val="343"/>
              <w:kinsoku w:val="0"/>
              <w:overflowPunct w:val="0"/>
              <w:spacing w:line="361" w:lineRule="exact"/>
              <w:jc w:val="center"/>
              <w:rPr>
                <w:rFonts w:hint="eastAsia" w:ascii="宋体" w:hAnsi="宋体" w:eastAsia="宋体" w:cs="宋体"/>
                <w:sz w:val="24"/>
                <w:szCs w:val="24"/>
              </w:rPr>
            </w:pPr>
            <w:r>
              <w:rPr>
                <w:rFonts w:hint="eastAsia" w:ascii="宋体" w:hAnsi="宋体" w:eastAsia="宋体" w:cs="宋体"/>
                <w:sz w:val="24"/>
                <w:szCs w:val="24"/>
              </w:rPr>
              <w:t>50±</w:t>
            </w:r>
            <w:r>
              <w:rPr>
                <w:rFonts w:hint="eastAsia" w:ascii="宋体" w:hAnsi="宋体" w:eastAsia="宋体" w:cs="宋体"/>
                <w:sz w:val="24"/>
                <w:szCs w:val="24"/>
              </w:rPr>
              <w:t>1</w:t>
            </w:r>
          </w:p>
        </w:tc>
      </w:tr>
      <w:tr w14:paraId="3AE90908">
        <w:tblPrEx>
          <w:tblCellMar>
            <w:top w:w="0" w:type="dxa"/>
            <w:left w:w="0" w:type="dxa"/>
            <w:bottom w:w="0" w:type="dxa"/>
            <w:right w:w="0" w:type="dxa"/>
          </w:tblCellMar>
        </w:tblPrEx>
        <w:trPr>
          <w:trHeight w:val="681" w:hRule="exact"/>
        </w:trPr>
        <w:tc>
          <w:tcPr>
            <w:tcW w:w="990" w:type="dxa"/>
            <w:tcBorders>
              <w:top w:val="single" w:color="000000" w:sz="4" w:space="0"/>
              <w:left w:val="single" w:color="000000" w:sz="4" w:space="0"/>
              <w:bottom w:val="single" w:color="000000" w:sz="4" w:space="0"/>
              <w:right w:val="single" w:color="000000" w:sz="4" w:space="0"/>
            </w:tcBorders>
            <w:vAlign w:val="center"/>
          </w:tcPr>
          <w:p w14:paraId="61445ABB">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7</w:t>
            </w:r>
          </w:p>
        </w:tc>
        <w:tc>
          <w:tcPr>
            <w:tcW w:w="2698" w:type="dxa"/>
            <w:tcBorders>
              <w:top w:val="single" w:color="000000" w:sz="4" w:space="0"/>
              <w:left w:val="single" w:color="000000" w:sz="4" w:space="0"/>
              <w:bottom w:val="single" w:color="000000" w:sz="4" w:space="0"/>
              <w:right w:val="single" w:color="000000" w:sz="4" w:space="0"/>
            </w:tcBorders>
            <w:vAlign w:val="center"/>
          </w:tcPr>
          <w:p w14:paraId="20A4AC36">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直流电压调节范围</w:t>
            </w:r>
          </w:p>
        </w:tc>
        <w:tc>
          <w:tcPr>
            <w:tcW w:w="1035" w:type="dxa"/>
            <w:tcBorders>
              <w:top w:val="single" w:color="000000" w:sz="4" w:space="0"/>
              <w:left w:val="single" w:color="000000" w:sz="4" w:space="0"/>
              <w:bottom w:val="single" w:color="000000" w:sz="4" w:space="0"/>
              <w:right w:val="single" w:color="000000" w:sz="4" w:space="0"/>
            </w:tcBorders>
            <w:vAlign w:val="center"/>
          </w:tcPr>
          <w:p w14:paraId="74201BAA">
            <w:pPr>
              <w:jc w:val="center"/>
              <w:rPr>
                <w:rFonts w:hint="eastAsia" w:ascii="宋体" w:hAnsi="宋体" w:eastAsia="宋体" w:cs="宋体"/>
                <w:sz w:val="24"/>
                <w:szCs w:val="24"/>
              </w:rPr>
            </w:pPr>
            <w:r>
              <w:rPr>
                <w:rFonts w:hint="eastAsia" w:ascii="宋体" w:hAnsi="宋体" w:eastAsia="宋体" w:cs="宋体"/>
                <w:sz w:val="24"/>
                <w:szCs w:val="24"/>
              </w:rPr>
              <w:t>V</w:t>
            </w:r>
          </w:p>
        </w:tc>
        <w:tc>
          <w:tcPr>
            <w:tcW w:w="4337" w:type="dxa"/>
            <w:tcBorders>
              <w:top w:val="single" w:color="000000" w:sz="4" w:space="0"/>
              <w:left w:val="single" w:color="000000" w:sz="4" w:space="0"/>
              <w:bottom w:val="single" w:color="000000" w:sz="4" w:space="0"/>
              <w:right w:val="single" w:color="000000" w:sz="4" w:space="0"/>
            </w:tcBorders>
            <w:vAlign w:val="center"/>
          </w:tcPr>
          <w:p w14:paraId="13D0794B">
            <w:pPr>
              <w:pStyle w:val="343"/>
              <w:kinsoku w:val="0"/>
              <w:overflowPunct w:val="0"/>
              <w:spacing w:line="361" w:lineRule="exact"/>
              <w:jc w:val="center"/>
              <w:rPr>
                <w:rFonts w:hint="eastAsia" w:ascii="宋体" w:hAnsi="宋体" w:eastAsia="宋体" w:cs="宋体"/>
                <w:sz w:val="24"/>
                <w:szCs w:val="24"/>
                <w:lang w:eastAsia="zh-CN"/>
              </w:rPr>
            </w:pPr>
            <w:r>
              <w:rPr>
                <w:rFonts w:hint="eastAsia" w:ascii="宋体" w:hAnsi="宋体" w:eastAsia="宋体" w:cs="宋体"/>
                <w:sz w:val="24"/>
                <w:szCs w:val="24"/>
              </w:rPr>
              <w:t>200-1000V</w:t>
            </w:r>
          </w:p>
        </w:tc>
      </w:tr>
      <w:tr w14:paraId="57A34FA0">
        <w:tblPrEx>
          <w:tblCellMar>
            <w:top w:w="0" w:type="dxa"/>
            <w:left w:w="0" w:type="dxa"/>
            <w:bottom w:w="0" w:type="dxa"/>
            <w:right w:w="0" w:type="dxa"/>
          </w:tblCellMar>
        </w:tblPrEx>
        <w:trPr>
          <w:trHeight w:val="578" w:hRule="exact"/>
        </w:trPr>
        <w:tc>
          <w:tcPr>
            <w:tcW w:w="990" w:type="dxa"/>
            <w:tcBorders>
              <w:top w:val="single" w:color="000000" w:sz="4" w:space="0"/>
              <w:left w:val="single" w:color="000000" w:sz="4" w:space="0"/>
              <w:bottom w:val="single" w:color="000000" w:sz="4" w:space="0"/>
              <w:right w:val="single" w:color="000000" w:sz="4" w:space="0"/>
            </w:tcBorders>
            <w:vAlign w:val="center"/>
          </w:tcPr>
          <w:p w14:paraId="0A0FFBF0">
            <w:pPr>
              <w:pStyle w:val="343"/>
              <w:kinsoku w:val="0"/>
              <w:overflowPunct w:val="0"/>
              <w:jc w:val="center"/>
              <w:rPr>
                <w:rFonts w:hint="eastAsia" w:ascii="宋体" w:hAnsi="宋体" w:eastAsia="宋体" w:cs="宋体"/>
                <w:sz w:val="24"/>
                <w:szCs w:val="24"/>
                <w:lang w:eastAsia="zh-CN"/>
              </w:rPr>
            </w:pPr>
            <w:r>
              <w:rPr>
                <w:rFonts w:hint="eastAsia" w:ascii="宋体" w:hAnsi="宋体" w:eastAsia="宋体" w:cs="宋体"/>
                <w:sz w:val="24"/>
                <w:szCs w:val="24"/>
              </w:rPr>
              <w:t>8</w:t>
            </w:r>
          </w:p>
        </w:tc>
        <w:tc>
          <w:tcPr>
            <w:tcW w:w="2698" w:type="dxa"/>
            <w:tcBorders>
              <w:top w:val="single" w:color="000000" w:sz="4" w:space="0"/>
              <w:left w:val="single" w:color="000000" w:sz="4" w:space="0"/>
              <w:bottom w:val="single" w:color="000000" w:sz="4" w:space="0"/>
              <w:right w:val="single" w:color="000000" w:sz="4" w:space="0"/>
            </w:tcBorders>
            <w:vAlign w:val="center"/>
          </w:tcPr>
          <w:p w14:paraId="0AA9A8BF">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高频开关电源模块</w:t>
            </w:r>
          </w:p>
        </w:tc>
        <w:tc>
          <w:tcPr>
            <w:tcW w:w="1035" w:type="dxa"/>
            <w:tcBorders>
              <w:top w:val="single" w:color="000000" w:sz="4" w:space="0"/>
              <w:left w:val="single" w:color="000000" w:sz="4" w:space="0"/>
              <w:bottom w:val="single" w:color="000000" w:sz="4" w:space="0"/>
              <w:right w:val="single" w:color="000000" w:sz="4" w:space="0"/>
            </w:tcBorders>
            <w:vAlign w:val="center"/>
          </w:tcPr>
          <w:p w14:paraId="2B781B4A">
            <w:pPr>
              <w:jc w:val="center"/>
              <w:rPr>
                <w:rFonts w:hint="eastAsia" w:ascii="宋体" w:hAnsi="宋体" w:eastAsia="宋体" w:cs="宋体"/>
                <w:sz w:val="24"/>
                <w:szCs w:val="24"/>
              </w:rPr>
            </w:pPr>
            <w:r>
              <w:rPr>
                <w:rFonts w:hint="eastAsia" w:ascii="宋体" w:hAnsi="宋体" w:eastAsia="宋体" w:cs="宋体"/>
                <w:sz w:val="24"/>
                <w:szCs w:val="24"/>
              </w:rPr>
              <w:t>kW</w:t>
            </w:r>
          </w:p>
        </w:tc>
        <w:tc>
          <w:tcPr>
            <w:tcW w:w="4337" w:type="dxa"/>
            <w:tcBorders>
              <w:top w:val="single" w:color="000000" w:sz="4" w:space="0"/>
              <w:left w:val="single" w:color="000000" w:sz="4" w:space="0"/>
              <w:bottom w:val="single" w:color="000000" w:sz="4" w:space="0"/>
              <w:right w:val="single" w:color="000000" w:sz="4" w:space="0"/>
            </w:tcBorders>
            <w:vAlign w:val="center"/>
          </w:tcPr>
          <w:p w14:paraId="795C00CD">
            <w:pPr>
              <w:pStyle w:val="343"/>
              <w:kinsoku w:val="0"/>
              <w:overflowPunct w:val="0"/>
              <w:spacing w:line="361" w:lineRule="exact"/>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20kW≤单模块输出功率≤40kW</w:t>
            </w:r>
          </w:p>
        </w:tc>
      </w:tr>
      <w:tr w14:paraId="18C2BFC0">
        <w:tblPrEx>
          <w:tblCellMar>
            <w:top w:w="0" w:type="dxa"/>
            <w:left w:w="0" w:type="dxa"/>
            <w:bottom w:w="0" w:type="dxa"/>
            <w:right w:w="0" w:type="dxa"/>
          </w:tblCellMar>
        </w:tblPrEx>
        <w:trPr>
          <w:trHeight w:val="810" w:hRule="exact"/>
        </w:trPr>
        <w:tc>
          <w:tcPr>
            <w:tcW w:w="990" w:type="dxa"/>
            <w:tcBorders>
              <w:top w:val="single" w:color="000000" w:sz="4" w:space="0"/>
              <w:left w:val="single" w:color="000000" w:sz="4" w:space="0"/>
              <w:bottom w:val="single" w:color="000000" w:sz="4" w:space="0"/>
              <w:right w:val="single" w:color="000000" w:sz="4" w:space="0"/>
            </w:tcBorders>
            <w:vAlign w:val="center"/>
          </w:tcPr>
          <w:p w14:paraId="27DEAB6C">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9</w:t>
            </w:r>
          </w:p>
        </w:tc>
        <w:tc>
          <w:tcPr>
            <w:tcW w:w="2698" w:type="dxa"/>
            <w:tcBorders>
              <w:top w:val="single" w:color="000000" w:sz="4" w:space="0"/>
              <w:left w:val="single" w:color="000000" w:sz="4" w:space="0"/>
              <w:bottom w:val="single" w:color="000000" w:sz="4" w:space="0"/>
              <w:right w:val="single" w:color="000000" w:sz="4" w:space="0"/>
            </w:tcBorders>
            <w:vAlign w:val="center"/>
          </w:tcPr>
          <w:p w14:paraId="180F2148">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恒功率输出电压范围</w:t>
            </w:r>
          </w:p>
        </w:tc>
        <w:tc>
          <w:tcPr>
            <w:tcW w:w="1035" w:type="dxa"/>
            <w:tcBorders>
              <w:top w:val="single" w:color="000000" w:sz="4" w:space="0"/>
              <w:left w:val="single" w:color="000000" w:sz="4" w:space="0"/>
              <w:bottom w:val="single" w:color="000000" w:sz="4" w:space="0"/>
              <w:right w:val="single" w:color="000000" w:sz="4" w:space="0"/>
            </w:tcBorders>
            <w:vAlign w:val="center"/>
          </w:tcPr>
          <w:p w14:paraId="71B127C7">
            <w:pPr>
              <w:jc w:val="center"/>
              <w:rPr>
                <w:rFonts w:hint="eastAsia" w:ascii="宋体" w:hAnsi="宋体" w:eastAsia="宋体" w:cs="宋体"/>
                <w:sz w:val="24"/>
                <w:szCs w:val="24"/>
              </w:rPr>
            </w:pPr>
            <w:r>
              <w:rPr>
                <w:rFonts w:hint="eastAsia" w:ascii="宋体" w:hAnsi="宋体" w:eastAsia="宋体" w:cs="宋体"/>
                <w:sz w:val="24"/>
                <w:szCs w:val="24"/>
              </w:rPr>
              <w:t>V</w:t>
            </w:r>
          </w:p>
        </w:tc>
        <w:tc>
          <w:tcPr>
            <w:tcW w:w="4337" w:type="dxa"/>
            <w:tcBorders>
              <w:top w:val="single" w:color="000000" w:sz="4" w:space="0"/>
              <w:left w:val="single" w:color="000000" w:sz="4" w:space="0"/>
              <w:bottom w:val="single" w:color="000000" w:sz="4" w:space="0"/>
              <w:right w:val="single" w:color="000000" w:sz="4" w:space="0"/>
            </w:tcBorders>
            <w:vAlign w:val="center"/>
          </w:tcPr>
          <w:p w14:paraId="6DBA781B">
            <w:pPr>
              <w:pStyle w:val="343"/>
              <w:kinsoku w:val="0"/>
              <w:overflowPunct w:val="0"/>
              <w:spacing w:line="361" w:lineRule="exact"/>
              <w:jc w:val="center"/>
              <w:rPr>
                <w:rFonts w:hint="eastAsia" w:ascii="宋体" w:hAnsi="宋体" w:eastAsia="宋体" w:cs="宋体"/>
                <w:sz w:val="24"/>
                <w:szCs w:val="24"/>
              </w:rPr>
            </w:pPr>
            <w:r>
              <w:rPr>
                <w:rFonts w:hint="eastAsia" w:ascii="宋体" w:hAnsi="宋体" w:eastAsia="宋体" w:cs="宋体"/>
                <w:sz w:val="24"/>
                <w:szCs w:val="24"/>
              </w:rPr>
              <w:t>300-1000</w:t>
            </w:r>
          </w:p>
        </w:tc>
      </w:tr>
      <w:tr w14:paraId="2E4A4629">
        <w:tblPrEx>
          <w:tblCellMar>
            <w:top w:w="0" w:type="dxa"/>
            <w:left w:w="0" w:type="dxa"/>
            <w:bottom w:w="0" w:type="dxa"/>
            <w:right w:w="0" w:type="dxa"/>
          </w:tblCellMar>
        </w:tblPrEx>
        <w:trPr>
          <w:trHeight w:val="810" w:hRule="exact"/>
        </w:trPr>
        <w:tc>
          <w:tcPr>
            <w:tcW w:w="990" w:type="dxa"/>
            <w:tcBorders>
              <w:top w:val="single" w:color="000000" w:sz="4" w:space="0"/>
              <w:left w:val="single" w:color="000000" w:sz="4" w:space="0"/>
              <w:bottom w:val="single" w:color="000000" w:sz="4" w:space="0"/>
              <w:right w:val="single" w:color="000000" w:sz="4" w:space="0"/>
            </w:tcBorders>
            <w:vAlign w:val="center"/>
          </w:tcPr>
          <w:p w14:paraId="7B02F8E6">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10</w:t>
            </w:r>
          </w:p>
        </w:tc>
        <w:tc>
          <w:tcPr>
            <w:tcW w:w="2698" w:type="dxa"/>
            <w:tcBorders>
              <w:top w:val="single" w:color="000000" w:sz="4" w:space="0"/>
              <w:left w:val="single" w:color="000000" w:sz="4" w:space="0"/>
              <w:bottom w:val="single" w:color="000000" w:sz="4" w:space="0"/>
              <w:right w:val="single" w:color="000000" w:sz="4" w:space="0"/>
            </w:tcBorders>
            <w:vAlign w:val="center"/>
          </w:tcPr>
          <w:p w14:paraId="197CDC2E">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功率因数</w:t>
            </w:r>
          </w:p>
        </w:tc>
        <w:tc>
          <w:tcPr>
            <w:tcW w:w="1035" w:type="dxa"/>
            <w:tcBorders>
              <w:top w:val="single" w:color="000000" w:sz="4" w:space="0"/>
              <w:left w:val="single" w:color="000000" w:sz="4" w:space="0"/>
              <w:bottom w:val="single" w:color="000000" w:sz="4" w:space="0"/>
              <w:right w:val="single" w:color="000000" w:sz="4" w:space="0"/>
            </w:tcBorders>
            <w:vAlign w:val="center"/>
          </w:tcPr>
          <w:p w14:paraId="43A87B4A">
            <w:pPr>
              <w:jc w:val="center"/>
              <w:rPr>
                <w:rFonts w:hint="eastAsia" w:ascii="宋体" w:hAnsi="宋体" w:eastAsia="宋体" w:cs="宋体"/>
                <w:sz w:val="24"/>
                <w:szCs w:val="24"/>
              </w:rPr>
            </w:pPr>
          </w:p>
        </w:tc>
        <w:tc>
          <w:tcPr>
            <w:tcW w:w="4337" w:type="dxa"/>
            <w:tcBorders>
              <w:top w:val="single" w:color="000000" w:sz="4" w:space="0"/>
              <w:left w:val="single" w:color="000000" w:sz="4" w:space="0"/>
              <w:bottom w:val="single" w:color="000000" w:sz="4" w:space="0"/>
              <w:right w:val="single" w:color="000000" w:sz="4" w:space="0"/>
            </w:tcBorders>
            <w:vAlign w:val="center"/>
          </w:tcPr>
          <w:p w14:paraId="0F690A5A">
            <w:pPr>
              <w:pStyle w:val="343"/>
              <w:kinsoku w:val="0"/>
              <w:overflowPunct w:val="0"/>
              <w:spacing w:line="361" w:lineRule="exact"/>
              <w:jc w:val="center"/>
              <w:rPr>
                <w:rFonts w:hint="eastAsia" w:ascii="宋体" w:hAnsi="宋体" w:eastAsia="宋体" w:cs="宋体"/>
                <w:sz w:val="24"/>
                <w:szCs w:val="24"/>
              </w:rPr>
            </w:pPr>
            <w:r>
              <w:rPr>
                <w:rFonts w:hint="eastAsia" w:ascii="宋体" w:hAnsi="宋体" w:eastAsia="宋体" w:cs="宋体"/>
                <w:sz w:val="24"/>
                <w:szCs w:val="24"/>
              </w:rPr>
              <w:t>≥0.99（50%＜PO/PN</w:t>
            </w:r>
            <w:r>
              <w:rPr>
                <w:rFonts w:hint="eastAsia" w:ascii="宋体" w:hAnsi="宋体" w:eastAsia="宋体" w:cs="宋体"/>
                <w:spacing w:val="-8"/>
                <w:sz w:val="24"/>
                <w:szCs w:val="24"/>
              </w:rPr>
              <w:t xml:space="preserve"> </w:t>
            </w:r>
            <w:r>
              <w:rPr>
                <w:rFonts w:hint="eastAsia" w:ascii="宋体" w:hAnsi="宋体" w:eastAsia="宋体" w:cs="宋体"/>
                <w:sz w:val="24"/>
                <w:szCs w:val="24"/>
              </w:rPr>
              <w:t>≤100%）</w:t>
            </w:r>
          </w:p>
          <w:p w14:paraId="09F54432">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≥0.95（20%≤PO/PN≤50%）</w:t>
            </w:r>
          </w:p>
        </w:tc>
      </w:tr>
      <w:tr w14:paraId="0D251898">
        <w:tblPrEx>
          <w:tblCellMar>
            <w:top w:w="0" w:type="dxa"/>
            <w:left w:w="0" w:type="dxa"/>
            <w:bottom w:w="0" w:type="dxa"/>
            <w:right w:w="0" w:type="dxa"/>
          </w:tblCellMar>
        </w:tblPrEx>
        <w:trPr>
          <w:trHeight w:val="792" w:hRule="exact"/>
        </w:trPr>
        <w:tc>
          <w:tcPr>
            <w:tcW w:w="990" w:type="dxa"/>
            <w:tcBorders>
              <w:top w:val="single" w:color="000000" w:sz="4" w:space="0"/>
              <w:left w:val="single" w:color="000000" w:sz="4" w:space="0"/>
              <w:bottom w:val="single" w:color="000000" w:sz="4" w:space="0"/>
              <w:right w:val="single" w:color="000000" w:sz="4" w:space="0"/>
            </w:tcBorders>
            <w:vAlign w:val="center"/>
          </w:tcPr>
          <w:p w14:paraId="293360CE">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11</w:t>
            </w:r>
          </w:p>
        </w:tc>
        <w:tc>
          <w:tcPr>
            <w:tcW w:w="2698" w:type="dxa"/>
            <w:tcBorders>
              <w:top w:val="single" w:color="000000" w:sz="4" w:space="0"/>
              <w:left w:val="single" w:color="000000" w:sz="4" w:space="0"/>
              <w:bottom w:val="single" w:color="000000" w:sz="4" w:space="0"/>
              <w:right w:val="single" w:color="000000" w:sz="4" w:space="0"/>
            </w:tcBorders>
            <w:vAlign w:val="center"/>
          </w:tcPr>
          <w:p w14:paraId="49CE6D96">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效率</w:t>
            </w:r>
          </w:p>
        </w:tc>
        <w:tc>
          <w:tcPr>
            <w:tcW w:w="1035" w:type="dxa"/>
            <w:tcBorders>
              <w:top w:val="single" w:color="000000" w:sz="4" w:space="0"/>
              <w:left w:val="single" w:color="000000" w:sz="4" w:space="0"/>
              <w:bottom w:val="single" w:color="000000" w:sz="4" w:space="0"/>
              <w:right w:val="single" w:color="000000" w:sz="4" w:space="0"/>
            </w:tcBorders>
            <w:vAlign w:val="center"/>
          </w:tcPr>
          <w:p w14:paraId="1A2DBD72">
            <w:pPr>
              <w:jc w:val="center"/>
              <w:rPr>
                <w:rFonts w:hint="eastAsia" w:ascii="宋体" w:hAnsi="宋体" w:eastAsia="宋体" w:cs="宋体"/>
                <w:sz w:val="24"/>
                <w:szCs w:val="24"/>
              </w:rPr>
            </w:pPr>
          </w:p>
        </w:tc>
        <w:tc>
          <w:tcPr>
            <w:tcW w:w="4337" w:type="dxa"/>
            <w:tcBorders>
              <w:top w:val="single" w:color="000000" w:sz="4" w:space="0"/>
              <w:left w:val="single" w:color="000000" w:sz="4" w:space="0"/>
              <w:bottom w:val="single" w:color="000000" w:sz="4" w:space="0"/>
              <w:right w:val="single" w:color="000000" w:sz="4" w:space="0"/>
            </w:tcBorders>
            <w:vAlign w:val="center"/>
          </w:tcPr>
          <w:p w14:paraId="05AA03AD">
            <w:pPr>
              <w:pStyle w:val="343"/>
              <w:kinsoku w:val="0"/>
              <w:overflowPunct w:val="0"/>
              <w:spacing w:line="360" w:lineRule="exact"/>
              <w:jc w:val="center"/>
              <w:rPr>
                <w:rFonts w:hint="eastAsia" w:ascii="宋体" w:hAnsi="宋体" w:eastAsia="宋体" w:cs="宋体"/>
                <w:sz w:val="24"/>
                <w:szCs w:val="24"/>
              </w:rPr>
            </w:pPr>
            <w:r>
              <w:rPr>
                <w:rFonts w:hint="eastAsia" w:ascii="宋体" w:hAnsi="宋体" w:eastAsia="宋体" w:cs="宋体"/>
                <w:sz w:val="24"/>
                <w:szCs w:val="24"/>
              </w:rPr>
              <w:t>≥93%（50%＜PO/PN≤100%）</w:t>
            </w:r>
          </w:p>
          <w:p w14:paraId="18CA3A0E">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≥88%（20%≤PO/PN≤50%）</w:t>
            </w:r>
          </w:p>
        </w:tc>
      </w:tr>
      <w:tr w14:paraId="3C93E277">
        <w:tblPrEx>
          <w:tblCellMar>
            <w:top w:w="0" w:type="dxa"/>
            <w:left w:w="0" w:type="dxa"/>
            <w:bottom w:w="0" w:type="dxa"/>
            <w:right w:w="0" w:type="dxa"/>
          </w:tblCellMar>
        </w:tblPrEx>
        <w:trPr>
          <w:trHeight w:val="600" w:hRule="exact"/>
        </w:trPr>
        <w:tc>
          <w:tcPr>
            <w:tcW w:w="990" w:type="dxa"/>
            <w:tcBorders>
              <w:top w:val="single" w:color="000000" w:sz="4" w:space="0"/>
              <w:left w:val="single" w:color="000000" w:sz="4" w:space="0"/>
              <w:bottom w:val="single" w:color="000000" w:sz="4" w:space="0"/>
              <w:right w:val="single" w:color="000000" w:sz="4" w:space="0"/>
            </w:tcBorders>
            <w:vAlign w:val="center"/>
          </w:tcPr>
          <w:p w14:paraId="754762FB">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12</w:t>
            </w:r>
          </w:p>
        </w:tc>
        <w:tc>
          <w:tcPr>
            <w:tcW w:w="2698" w:type="dxa"/>
            <w:tcBorders>
              <w:top w:val="single" w:color="000000" w:sz="4" w:space="0"/>
              <w:left w:val="single" w:color="000000" w:sz="4" w:space="0"/>
              <w:bottom w:val="single" w:color="000000" w:sz="4" w:space="0"/>
              <w:right w:val="single" w:color="000000" w:sz="4" w:space="0"/>
            </w:tcBorders>
            <w:vAlign w:val="center"/>
          </w:tcPr>
          <w:p w14:paraId="492A6007">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电压精度</w:t>
            </w:r>
          </w:p>
        </w:tc>
        <w:tc>
          <w:tcPr>
            <w:tcW w:w="1035" w:type="dxa"/>
            <w:tcBorders>
              <w:top w:val="single" w:color="000000" w:sz="4" w:space="0"/>
              <w:left w:val="single" w:color="000000" w:sz="4" w:space="0"/>
              <w:bottom w:val="single" w:color="000000" w:sz="4" w:space="0"/>
              <w:right w:val="single" w:color="000000" w:sz="4" w:space="0"/>
            </w:tcBorders>
            <w:vAlign w:val="center"/>
          </w:tcPr>
          <w:p w14:paraId="491F285F">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w:t>
            </w:r>
          </w:p>
        </w:tc>
        <w:tc>
          <w:tcPr>
            <w:tcW w:w="4337" w:type="dxa"/>
            <w:tcBorders>
              <w:top w:val="single" w:color="000000" w:sz="4" w:space="0"/>
              <w:left w:val="single" w:color="000000" w:sz="4" w:space="0"/>
              <w:bottom w:val="single" w:color="000000" w:sz="4" w:space="0"/>
              <w:right w:val="single" w:color="000000" w:sz="4" w:space="0"/>
            </w:tcBorders>
            <w:vAlign w:val="center"/>
          </w:tcPr>
          <w:p w14:paraId="5E51C5C5">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不超过±0.5%</w:t>
            </w:r>
          </w:p>
        </w:tc>
      </w:tr>
      <w:tr w14:paraId="3FDFB5FD">
        <w:tblPrEx>
          <w:tblCellMar>
            <w:top w:w="0" w:type="dxa"/>
            <w:left w:w="0" w:type="dxa"/>
            <w:bottom w:w="0" w:type="dxa"/>
            <w:right w:w="0" w:type="dxa"/>
          </w:tblCellMar>
        </w:tblPrEx>
        <w:trPr>
          <w:trHeight w:val="563" w:hRule="exact"/>
        </w:trPr>
        <w:tc>
          <w:tcPr>
            <w:tcW w:w="990" w:type="dxa"/>
            <w:tcBorders>
              <w:top w:val="single" w:color="000000" w:sz="4" w:space="0"/>
              <w:left w:val="single" w:color="000000" w:sz="4" w:space="0"/>
              <w:bottom w:val="single" w:color="000000" w:sz="4" w:space="0"/>
              <w:right w:val="single" w:color="000000" w:sz="4" w:space="0"/>
            </w:tcBorders>
            <w:vAlign w:val="center"/>
          </w:tcPr>
          <w:p w14:paraId="79D2FB11">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13</w:t>
            </w:r>
          </w:p>
        </w:tc>
        <w:tc>
          <w:tcPr>
            <w:tcW w:w="2698" w:type="dxa"/>
            <w:tcBorders>
              <w:top w:val="single" w:color="000000" w:sz="4" w:space="0"/>
              <w:left w:val="single" w:color="000000" w:sz="4" w:space="0"/>
              <w:bottom w:val="single" w:color="000000" w:sz="4" w:space="0"/>
              <w:right w:val="single" w:color="000000" w:sz="4" w:space="0"/>
            </w:tcBorders>
            <w:vAlign w:val="center"/>
          </w:tcPr>
          <w:p w14:paraId="25237977">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电流精度</w:t>
            </w:r>
          </w:p>
        </w:tc>
        <w:tc>
          <w:tcPr>
            <w:tcW w:w="1035" w:type="dxa"/>
            <w:tcBorders>
              <w:top w:val="single" w:color="000000" w:sz="4" w:space="0"/>
              <w:left w:val="single" w:color="000000" w:sz="4" w:space="0"/>
              <w:bottom w:val="single" w:color="000000" w:sz="4" w:space="0"/>
              <w:right w:val="single" w:color="000000" w:sz="4" w:space="0"/>
            </w:tcBorders>
            <w:vAlign w:val="center"/>
          </w:tcPr>
          <w:p w14:paraId="7178CAC3">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w:t>
            </w:r>
          </w:p>
        </w:tc>
        <w:tc>
          <w:tcPr>
            <w:tcW w:w="4337" w:type="dxa"/>
            <w:tcBorders>
              <w:top w:val="single" w:color="000000" w:sz="4" w:space="0"/>
              <w:left w:val="single" w:color="000000" w:sz="4" w:space="0"/>
              <w:bottom w:val="single" w:color="000000" w:sz="4" w:space="0"/>
              <w:right w:val="single" w:color="000000" w:sz="4" w:space="0"/>
            </w:tcBorders>
            <w:vAlign w:val="center"/>
          </w:tcPr>
          <w:p w14:paraId="038118EC">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≥30A</w:t>
            </w:r>
            <w:r>
              <w:rPr>
                <w:rFonts w:hint="eastAsia" w:ascii="宋体" w:hAnsi="宋体" w:eastAsia="宋体" w:cs="宋体"/>
                <w:sz w:val="24"/>
                <w:szCs w:val="24"/>
                <w:lang w:eastAsia="zh-CN"/>
              </w:rPr>
              <w:t>，</w:t>
            </w:r>
            <w:r>
              <w:rPr>
                <w:rFonts w:hint="eastAsia" w:ascii="宋体" w:hAnsi="宋体" w:eastAsia="宋体" w:cs="宋体"/>
                <w:sz w:val="24"/>
                <w:szCs w:val="24"/>
              </w:rPr>
              <w:t>不超过±1%</w:t>
            </w:r>
            <w:r>
              <w:rPr>
                <w:rFonts w:hint="eastAsia" w:ascii="宋体" w:hAnsi="宋体" w:eastAsia="宋体" w:cs="宋体"/>
                <w:sz w:val="24"/>
                <w:szCs w:val="24"/>
                <w:lang w:eastAsia="zh-CN"/>
              </w:rPr>
              <w:t>；</w:t>
            </w:r>
            <w:r>
              <w:rPr>
                <w:rFonts w:hint="eastAsia" w:ascii="宋体" w:hAnsi="宋体" w:eastAsia="宋体" w:cs="宋体"/>
                <w:sz w:val="24"/>
                <w:szCs w:val="24"/>
              </w:rPr>
              <w:t>＜30A：不超过±0.3A</w:t>
            </w:r>
          </w:p>
        </w:tc>
      </w:tr>
      <w:tr w14:paraId="1E9257FF">
        <w:tblPrEx>
          <w:tblCellMar>
            <w:top w:w="0" w:type="dxa"/>
            <w:left w:w="0" w:type="dxa"/>
            <w:bottom w:w="0" w:type="dxa"/>
            <w:right w:w="0" w:type="dxa"/>
          </w:tblCellMar>
        </w:tblPrEx>
        <w:trPr>
          <w:trHeight w:val="488" w:hRule="exact"/>
        </w:trPr>
        <w:tc>
          <w:tcPr>
            <w:tcW w:w="990" w:type="dxa"/>
            <w:tcBorders>
              <w:top w:val="single" w:color="000000" w:sz="4" w:space="0"/>
              <w:left w:val="single" w:color="000000" w:sz="4" w:space="0"/>
              <w:bottom w:val="single" w:color="000000" w:sz="4" w:space="0"/>
              <w:right w:val="single" w:color="000000" w:sz="4" w:space="0"/>
            </w:tcBorders>
            <w:vAlign w:val="center"/>
          </w:tcPr>
          <w:p w14:paraId="353E6919">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14</w:t>
            </w:r>
          </w:p>
        </w:tc>
        <w:tc>
          <w:tcPr>
            <w:tcW w:w="2698" w:type="dxa"/>
            <w:tcBorders>
              <w:top w:val="single" w:color="000000" w:sz="4" w:space="0"/>
              <w:left w:val="single" w:color="000000" w:sz="4" w:space="0"/>
              <w:bottom w:val="single" w:color="000000" w:sz="4" w:space="0"/>
              <w:right w:val="single" w:color="000000" w:sz="4" w:space="0"/>
            </w:tcBorders>
            <w:vAlign w:val="center"/>
          </w:tcPr>
          <w:p w14:paraId="0AF928EF">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稳压精度</w:t>
            </w:r>
          </w:p>
        </w:tc>
        <w:tc>
          <w:tcPr>
            <w:tcW w:w="1035" w:type="dxa"/>
            <w:tcBorders>
              <w:top w:val="single" w:color="000000" w:sz="4" w:space="0"/>
              <w:left w:val="single" w:color="000000" w:sz="4" w:space="0"/>
              <w:bottom w:val="single" w:color="000000" w:sz="4" w:space="0"/>
              <w:right w:val="single" w:color="000000" w:sz="4" w:space="0"/>
            </w:tcBorders>
            <w:vAlign w:val="center"/>
          </w:tcPr>
          <w:p w14:paraId="1FB03FE0">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w:t>
            </w:r>
          </w:p>
        </w:tc>
        <w:tc>
          <w:tcPr>
            <w:tcW w:w="4337" w:type="dxa"/>
            <w:tcBorders>
              <w:top w:val="single" w:color="000000" w:sz="4" w:space="0"/>
              <w:left w:val="single" w:color="000000" w:sz="4" w:space="0"/>
              <w:bottom w:val="single" w:color="000000" w:sz="4" w:space="0"/>
              <w:right w:val="single" w:color="000000" w:sz="4" w:space="0"/>
            </w:tcBorders>
            <w:vAlign w:val="center"/>
          </w:tcPr>
          <w:p w14:paraId="15860981">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不超过±0.5%</w:t>
            </w:r>
          </w:p>
        </w:tc>
      </w:tr>
      <w:tr w14:paraId="63ED6899">
        <w:tblPrEx>
          <w:tblCellMar>
            <w:top w:w="0" w:type="dxa"/>
            <w:left w:w="0" w:type="dxa"/>
            <w:bottom w:w="0" w:type="dxa"/>
            <w:right w:w="0" w:type="dxa"/>
          </w:tblCellMar>
        </w:tblPrEx>
        <w:trPr>
          <w:trHeight w:val="488" w:hRule="exact"/>
        </w:trPr>
        <w:tc>
          <w:tcPr>
            <w:tcW w:w="990" w:type="dxa"/>
            <w:tcBorders>
              <w:top w:val="single" w:color="000000" w:sz="4" w:space="0"/>
              <w:left w:val="single" w:color="000000" w:sz="4" w:space="0"/>
              <w:bottom w:val="single" w:color="000000" w:sz="4" w:space="0"/>
              <w:right w:val="single" w:color="000000" w:sz="4" w:space="0"/>
            </w:tcBorders>
            <w:vAlign w:val="center"/>
          </w:tcPr>
          <w:p w14:paraId="3DF4CE8C">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15</w:t>
            </w:r>
          </w:p>
        </w:tc>
        <w:tc>
          <w:tcPr>
            <w:tcW w:w="2698" w:type="dxa"/>
            <w:tcBorders>
              <w:top w:val="single" w:color="000000" w:sz="4" w:space="0"/>
              <w:left w:val="single" w:color="000000" w:sz="4" w:space="0"/>
              <w:bottom w:val="single" w:color="000000" w:sz="4" w:space="0"/>
              <w:right w:val="single" w:color="000000" w:sz="4" w:space="0"/>
            </w:tcBorders>
            <w:vAlign w:val="center"/>
          </w:tcPr>
          <w:p w14:paraId="7B41DA44">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稳流精度</w:t>
            </w:r>
          </w:p>
        </w:tc>
        <w:tc>
          <w:tcPr>
            <w:tcW w:w="1035" w:type="dxa"/>
            <w:tcBorders>
              <w:top w:val="single" w:color="000000" w:sz="4" w:space="0"/>
              <w:left w:val="single" w:color="000000" w:sz="4" w:space="0"/>
              <w:bottom w:val="single" w:color="000000" w:sz="4" w:space="0"/>
              <w:right w:val="single" w:color="000000" w:sz="4" w:space="0"/>
            </w:tcBorders>
            <w:vAlign w:val="center"/>
          </w:tcPr>
          <w:p w14:paraId="33A7AC29">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w:t>
            </w:r>
          </w:p>
        </w:tc>
        <w:tc>
          <w:tcPr>
            <w:tcW w:w="4337" w:type="dxa"/>
            <w:tcBorders>
              <w:top w:val="single" w:color="000000" w:sz="4" w:space="0"/>
              <w:left w:val="single" w:color="000000" w:sz="4" w:space="0"/>
              <w:bottom w:val="single" w:color="000000" w:sz="4" w:space="0"/>
              <w:right w:val="single" w:color="000000" w:sz="4" w:space="0"/>
            </w:tcBorders>
            <w:vAlign w:val="center"/>
          </w:tcPr>
          <w:p w14:paraId="19E2D7D6">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不超过±1%</w:t>
            </w:r>
          </w:p>
        </w:tc>
      </w:tr>
      <w:tr w14:paraId="638676A6">
        <w:tblPrEx>
          <w:tblCellMar>
            <w:top w:w="0" w:type="dxa"/>
            <w:left w:w="0" w:type="dxa"/>
            <w:bottom w:w="0" w:type="dxa"/>
            <w:right w:w="0" w:type="dxa"/>
          </w:tblCellMar>
        </w:tblPrEx>
        <w:trPr>
          <w:trHeight w:val="488" w:hRule="exact"/>
        </w:trPr>
        <w:tc>
          <w:tcPr>
            <w:tcW w:w="990" w:type="dxa"/>
            <w:tcBorders>
              <w:top w:val="single" w:color="000000" w:sz="4" w:space="0"/>
              <w:left w:val="single" w:color="000000" w:sz="4" w:space="0"/>
              <w:bottom w:val="single" w:color="000000" w:sz="4" w:space="0"/>
              <w:right w:val="single" w:color="000000" w:sz="4" w:space="0"/>
            </w:tcBorders>
            <w:vAlign w:val="center"/>
          </w:tcPr>
          <w:p w14:paraId="137FA12F">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16</w:t>
            </w:r>
          </w:p>
        </w:tc>
        <w:tc>
          <w:tcPr>
            <w:tcW w:w="2698" w:type="dxa"/>
            <w:tcBorders>
              <w:top w:val="single" w:color="000000" w:sz="4" w:space="0"/>
              <w:left w:val="single" w:color="000000" w:sz="4" w:space="0"/>
              <w:bottom w:val="single" w:color="000000" w:sz="4" w:space="0"/>
              <w:right w:val="single" w:color="000000" w:sz="4" w:space="0"/>
            </w:tcBorders>
            <w:vAlign w:val="center"/>
          </w:tcPr>
          <w:p w14:paraId="2E8ADEDE">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纹波系数</w:t>
            </w:r>
          </w:p>
        </w:tc>
        <w:tc>
          <w:tcPr>
            <w:tcW w:w="1035" w:type="dxa"/>
            <w:tcBorders>
              <w:top w:val="single" w:color="000000" w:sz="4" w:space="0"/>
              <w:left w:val="single" w:color="000000" w:sz="4" w:space="0"/>
              <w:bottom w:val="single" w:color="000000" w:sz="4" w:space="0"/>
              <w:right w:val="single" w:color="000000" w:sz="4" w:space="0"/>
            </w:tcBorders>
            <w:vAlign w:val="center"/>
          </w:tcPr>
          <w:p w14:paraId="3767F766">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w:t>
            </w:r>
          </w:p>
        </w:tc>
        <w:tc>
          <w:tcPr>
            <w:tcW w:w="4337" w:type="dxa"/>
            <w:tcBorders>
              <w:top w:val="single" w:color="000000" w:sz="4" w:space="0"/>
              <w:left w:val="single" w:color="000000" w:sz="4" w:space="0"/>
              <w:bottom w:val="single" w:color="000000" w:sz="4" w:space="0"/>
              <w:right w:val="single" w:color="000000" w:sz="4" w:space="0"/>
            </w:tcBorders>
            <w:vAlign w:val="center"/>
          </w:tcPr>
          <w:p w14:paraId="3B2C81BF">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峰值：不超过±1%</w:t>
            </w:r>
          </w:p>
        </w:tc>
      </w:tr>
      <w:tr w14:paraId="3C1C001E">
        <w:tblPrEx>
          <w:tblCellMar>
            <w:top w:w="0" w:type="dxa"/>
            <w:left w:w="0" w:type="dxa"/>
            <w:bottom w:w="0" w:type="dxa"/>
            <w:right w:w="0" w:type="dxa"/>
          </w:tblCellMar>
        </w:tblPrEx>
        <w:trPr>
          <w:trHeight w:val="488" w:hRule="exact"/>
        </w:trPr>
        <w:tc>
          <w:tcPr>
            <w:tcW w:w="990" w:type="dxa"/>
            <w:tcBorders>
              <w:top w:val="single" w:color="000000" w:sz="4" w:space="0"/>
              <w:left w:val="single" w:color="000000" w:sz="4" w:space="0"/>
              <w:bottom w:val="single" w:color="000000" w:sz="4" w:space="0"/>
              <w:right w:val="single" w:color="000000" w:sz="4" w:space="0"/>
            </w:tcBorders>
            <w:vAlign w:val="center"/>
          </w:tcPr>
          <w:p w14:paraId="6846E541">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17</w:t>
            </w:r>
          </w:p>
        </w:tc>
        <w:tc>
          <w:tcPr>
            <w:tcW w:w="2698" w:type="dxa"/>
            <w:tcBorders>
              <w:top w:val="single" w:color="000000" w:sz="4" w:space="0"/>
              <w:left w:val="single" w:color="000000" w:sz="4" w:space="0"/>
              <w:bottom w:val="single" w:color="000000" w:sz="4" w:space="0"/>
              <w:right w:val="single" w:color="000000" w:sz="4" w:space="0"/>
            </w:tcBorders>
            <w:vAlign w:val="center"/>
          </w:tcPr>
          <w:p w14:paraId="293237F8">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噪声</w:t>
            </w:r>
          </w:p>
        </w:tc>
        <w:tc>
          <w:tcPr>
            <w:tcW w:w="1035" w:type="dxa"/>
            <w:tcBorders>
              <w:top w:val="single" w:color="000000" w:sz="4" w:space="0"/>
              <w:left w:val="single" w:color="000000" w:sz="4" w:space="0"/>
              <w:bottom w:val="single" w:color="000000" w:sz="4" w:space="0"/>
              <w:right w:val="single" w:color="000000" w:sz="4" w:space="0"/>
            </w:tcBorders>
            <w:vAlign w:val="center"/>
          </w:tcPr>
          <w:p w14:paraId="3B74F1A9">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dB</w:t>
            </w:r>
          </w:p>
        </w:tc>
        <w:tc>
          <w:tcPr>
            <w:tcW w:w="4337" w:type="dxa"/>
            <w:tcBorders>
              <w:top w:val="single" w:color="000000" w:sz="4" w:space="0"/>
              <w:left w:val="single" w:color="000000" w:sz="4" w:space="0"/>
              <w:bottom w:val="single" w:color="000000" w:sz="4" w:space="0"/>
              <w:right w:val="single" w:color="000000" w:sz="4" w:space="0"/>
            </w:tcBorders>
            <w:vAlign w:val="center"/>
          </w:tcPr>
          <w:p w14:paraId="7453B4FF">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满足国标Ⅱ级要求</w:t>
            </w:r>
          </w:p>
        </w:tc>
      </w:tr>
      <w:tr w14:paraId="0858241F">
        <w:tblPrEx>
          <w:tblCellMar>
            <w:top w:w="0" w:type="dxa"/>
            <w:left w:w="0" w:type="dxa"/>
            <w:bottom w:w="0" w:type="dxa"/>
            <w:right w:w="0" w:type="dxa"/>
          </w:tblCellMar>
        </w:tblPrEx>
        <w:trPr>
          <w:trHeight w:val="488" w:hRule="exact"/>
        </w:trPr>
        <w:tc>
          <w:tcPr>
            <w:tcW w:w="990" w:type="dxa"/>
            <w:tcBorders>
              <w:top w:val="single" w:color="000000" w:sz="4" w:space="0"/>
              <w:left w:val="single" w:color="000000" w:sz="4" w:space="0"/>
              <w:bottom w:val="single" w:color="000000" w:sz="4" w:space="0"/>
              <w:right w:val="single" w:color="000000" w:sz="4" w:space="0"/>
            </w:tcBorders>
            <w:vAlign w:val="center"/>
          </w:tcPr>
          <w:p w14:paraId="7602B811">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18</w:t>
            </w:r>
          </w:p>
        </w:tc>
        <w:tc>
          <w:tcPr>
            <w:tcW w:w="2698" w:type="dxa"/>
            <w:tcBorders>
              <w:top w:val="single" w:color="000000" w:sz="4" w:space="0"/>
              <w:left w:val="single" w:color="000000" w:sz="4" w:space="0"/>
              <w:bottom w:val="single" w:color="000000" w:sz="4" w:space="0"/>
              <w:right w:val="single" w:color="000000" w:sz="4" w:space="0"/>
            </w:tcBorders>
            <w:vAlign w:val="center"/>
          </w:tcPr>
          <w:p w14:paraId="4DB8FECF">
            <w:pPr>
              <w:pStyle w:val="343"/>
              <w:kinsoku w:val="0"/>
              <w:overflowPunct w:val="0"/>
              <w:jc w:val="center"/>
              <w:rPr>
                <w:rFonts w:hint="eastAsia" w:ascii="宋体" w:hAnsi="宋体" w:eastAsia="宋体" w:cs="宋体"/>
                <w:sz w:val="24"/>
                <w:szCs w:val="24"/>
                <w:lang w:eastAsia="zh-CN"/>
              </w:rPr>
            </w:pPr>
            <w:r>
              <w:rPr>
                <w:rFonts w:hint="eastAsia" w:ascii="宋体" w:hAnsi="宋体" w:eastAsia="宋体" w:cs="宋体"/>
                <w:sz w:val="24"/>
                <w:szCs w:val="24"/>
              </w:rPr>
              <w:t>静电放电抗扰度</w:t>
            </w:r>
          </w:p>
        </w:tc>
        <w:tc>
          <w:tcPr>
            <w:tcW w:w="1035" w:type="dxa"/>
            <w:tcBorders>
              <w:top w:val="single" w:color="000000" w:sz="4" w:space="0"/>
              <w:left w:val="single" w:color="000000" w:sz="4" w:space="0"/>
              <w:bottom w:val="single" w:color="000000" w:sz="4" w:space="0"/>
              <w:right w:val="single" w:color="000000" w:sz="4" w:space="0"/>
            </w:tcBorders>
            <w:vAlign w:val="center"/>
          </w:tcPr>
          <w:p w14:paraId="7FF2210F">
            <w:pPr>
              <w:pStyle w:val="343"/>
              <w:kinsoku w:val="0"/>
              <w:overflowPunct w:val="0"/>
              <w:jc w:val="center"/>
              <w:rPr>
                <w:rFonts w:hint="eastAsia" w:ascii="宋体" w:hAnsi="宋体" w:eastAsia="宋体" w:cs="宋体"/>
                <w:sz w:val="24"/>
                <w:szCs w:val="24"/>
                <w:lang w:eastAsia="zh-CN"/>
              </w:rPr>
            </w:pPr>
          </w:p>
        </w:tc>
        <w:tc>
          <w:tcPr>
            <w:tcW w:w="4337" w:type="dxa"/>
            <w:tcBorders>
              <w:top w:val="single" w:color="000000" w:sz="4" w:space="0"/>
              <w:left w:val="single" w:color="000000" w:sz="4" w:space="0"/>
              <w:bottom w:val="single" w:color="000000" w:sz="4" w:space="0"/>
              <w:right w:val="single" w:color="000000" w:sz="4" w:space="0"/>
            </w:tcBorders>
            <w:vAlign w:val="center"/>
          </w:tcPr>
          <w:p w14:paraId="12EE953F">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pacing w:val="-71"/>
                <w:sz w:val="24"/>
                <w:szCs w:val="24"/>
              </w:rPr>
              <w:t xml:space="preserve"> </w:t>
            </w:r>
            <w:r>
              <w:rPr>
                <w:rFonts w:hint="eastAsia" w:ascii="宋体" w:hAnsi="宋体" w:eastAsia="宋体" w:cs="宋体"/>
                <w:sz w:val="24"/>
                <w:szCs w:val="24"/>
              </w:rPr>
              <w:t>级</w:t>
            </w:r>
          </w:p>
        </w:tc>
      </w:tr>
      <w:tr w14:paraId="25FCA937">
        <w:tblPrEx>
          <w:tblCellMar>
            <w:top w:w="0" w:type="dxa"/>
            <w:left w:w="0" w:type="dxa"/>
            <w:bottom w:w="0" w:type="dxa"/>
            <w:right w:w="0" w:type="dxa"/>
          </w:tblCellMar>
        </w:tblPrEx>
        <w:trPr>
          <w:trHeight w:val="488" w:hRule="exact"/>
        </w:trPr>
        <w:tc>
          <w:tcPr>
            <w:tcW w:w="990" w:type="dxa"/>
            <w:tcBorders>
              <w:top w:val="single" w:color="000000" w:sz="4" w:space="0"/>
              <w:left w:val="single" w:color="000000" w:sz="4" w:space="0"/>
              <w:bottom w:val="single" w:color="000000" w:sz="4" w:space="0"/>
              <w:right w:val="single" w:color="000000" w:sz="4" w:space="0"/>
            </w:tcBorders>
            <w:vAlign w:val="center"/>
          </w:tcPr>
          <w:p w14:paraId="692B3668">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19</w:t>
            </w:r>
          </w:p>
        </w:tc>
        <w:tc>
          <w:tcPr>
            <w:tcW w:w="2698" w:type="dxa"/>
            <w:tcBorders>
              <w:top w:val="single" w:color="000000" w:sz="4" w:space="0"/>
              <w:left w:val="single" w:color="000000" w:sz="4" w:space="0"/>
              <w:bottom w:val="single" w:color="000000" w:sz="4" w:space="0"/>
              <w:right w:val="single" w:color="000000" w:sz="4" w:space="0"/>
            </w:tcBorders>
            <w:vAlign w:val="center"/>
          </w:tcPr>
          <w:p w14:paraId="53940683">
            <w:pPr>
              <w:pStyle w:val="343"/>
              <w:kinsoku w:val="0"/>
              <w:overflowPunct w:val="0"/>
              <w:jc w:val="center"/>
              <w:rPr>
                <w:rFonts w:hint="eastAsia" w:ascii="宋体" w:hAnsi="宋体" w:eastAsia="宋体" w:cs="宋体"/>
                <w:sz w:val="24"/>
                <w:szCs w:val="24"/>
                <w:lang w:eastAsia="zh-CN"/>
              </w:rPr>
            </w:pPr>
            <w:r>
              <w:rPr>
                <w:rFonts w:hint="eastAsia" w:ascii="宋体" w:hAnsi="宋体" w:eastAsia="宋体" w:cs="宋体"/>
                <w:spacing w:val="-2"/>
                <w:sz w:val="24"/>
                <w:szCs w:val="24"/>
                <w:lang w:eastAsia="zh-CN"/>
              </w:rPr>
              <w:t>射频电磁场辐射抗扰</w:t>
            </w:r>
            <w:r>
              <w:rPr>
                <w:rFonts w:hint="eastAsia" w:ascii="宋体" w:hAnsi="宋体" w:eastAsia="宋体" w:cs="宋体"/>
                <w:spacing w:val="-127"/>
                <w:sz w:val="24"/>
                <w:szCs w:val="24"/>
                <w:lang w:eastAsia="zh-CN"/>
              </w:rPr>
              <w:t xml:space="preserve"> </w:t>
            </w:r>
            <w:r>
              <w:rPr>
                <w:rFonts w:hint="eastAsia" w:ascii="宋体" w:hAnsi="宋体" w:eastAsia="宋体" w:cs="宋体"/>
                <w:sz w:val="24"/>
                <w:szCs w:val="24"/>
                <w:lang w:eastAsia="zh-CN"/>
              </w:rPr>
              <w:t>度</w:t>
            </w:r>
          </w:p>
        </w:tc>
        <w:tc>
          <w:tcPr>
            <w:tcW w:w="1035" w:type="dxa"/>
            <w:tcBorders>
              <w:top w:val="single" w:color="000000" w:sz="4" w:space="0"/>
              <w:left w:val="single" w:color="000000" w:sz="4" w:space="0"/>
              <w:bottom w:val="single" w:color="000000" w:sz="4" w:space="0"/>
              <w:right w:val="single" w:color="000000" w:sz="4" w:space="0"/>
            </w:tcBorders>
            <w:vAlign w:val="center"/>
          </w:tcPr>
          <w:p w14:paraId="6FE57B8A">
            <w:pPr>
              <w:pStyle w:val="343"/>
              <w:kinsoku w:val="0"/>
              <w:overflowPunct w:val="0"/>
              <w:jc w:val="center"/>
              <w:rPr>
                <w:rFonts w:hint="eastAsia" w:ascii="宋体" w:hAnsi="宋体" w:eastAsia="宋体" w:cs="宋体"/>
                <w:sz w:val="24"/>
                <w:szCs w:val="24"/>
                <w:lang w:eastAsia="zh-CN"/>
              </w:rPr>
            </w:pPr>
          </w:p>
        </w:tc>
        <w:tc>
          <w:tcPr>
            <w:tcW w:w="4337" w:type="dxa"/>
            <w:tcBorders>
              <w:top w:val="single" w:color="000000" w:sz="4" w:space="0"/>
              <w:left w:val="single" w:color="000000" w:sz="4" w:space="0"/>
              <w:bottom w:val="single" w:color="000000" w:sz="4" w:space="0"/>
              <w:right w:val="single" w:color="000000" w:sz="4" w:space="0"/>
            </w:tcBorders>
            <w:vAlign w:val="center"/>
          </w:tcPr>
          <w:p w14:paraId="5E937F3E">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pacing w:val="-71"/>
                <w:sz w:val="24"/>
                <w:szCs w:val="24"/>
              </w:rPr>
              <w:t xml:space="preserve"> </w:t>
            </w:r>
            <w:r>
              <w:rPr>
                <w:rFonts w:hint="eastAsia" w:ascii="宋体" w:hAnsi="宋体" w:eastAsia="宋体" w:cs="宋体"/>
                <w:sz w:val="24"/>
                <w:szCs w:val="24"/>
              </w:rPr>
              <w:t>级</w:t>
            </w:r>
          </w:p>
        </w:tc>
      </w:tr>
      <w:tr w14:paraId="1A604C9B">
        <w:tblPrEx>
          <w:tblCellMar>
            <w:top w:w="0" w:type="dxa"/>
            <w:left w:w="0" w:type="dxa"/>
            <w:bottom w:w="0" w:type="dxa"/>
            <w:right w:w="0" w:type="dxa"/>
          </w:tblCellMar>
        </w:tblPrEx>
        <w:trPr>
          <w:trHeight w:val="488" w:hRule="exact"/>
        </w:trPr>
        <w:tc>
          <w:tcPr>
            <w:tcW w:w="990" w:type="dxa"/>
            <w:tcBorders>
              <w:top w:val="single" w:color="000000" w:sz="4" w:space="0"/>
              <w:left w:val="single" w:color="000000" w:sz="4" w:space="0"/>
              <w:bottom w:val="single" w:color="000000" w:sz="4" w:space="0"/>
              <w:right w:val="single" w:color="000000" w:sz="4" w:space="0"/>
            </w:tcBorders>
            <w:vAlign w:val="center"/>
          </w:tcPr>
          <w:p w14:paraId="61CE8082">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20</w:t>
            </w:r>
          </w:p>
        </w:tc>
        <w:tc>
          <w:tcPr>
            <w:tcW w:w="2698" w:type="dxa"/>
            <w:tcBorders>
              <w:top w:val="single" w:color="000000" w:sz="4" w:space="0"/>
              <w:left w:val="single" w:color="000000" w:sz="4" w:space="0"/>
              <w:bottom w:val="single" w:color="000000" w:sz="4" w:space="0"/>
              <w:right w:val="single" w:color="000000" w:sz="4" w:space="0"/>
            </w:tcBorders>
            <w:vAlign w:val="center"/>
          </w:tcPr>
          <w:p w14:paraId="104D7E4A">
            <w:pPr>
              <w:pStyle w:val="343"/>
              <w:kinsoku w:val="0"/>
              <w:overflowPunct w:val="0"/>
              <w:jc w:val="center"/>
              <w:rPr>
                <w:rFonts w:hint="eastAsia" w:ascii="宋体" w:hAnsi="宋体" w:eastAsia="宋体" w:cs="宋体"/>
                <w:sz w:val="24"/>
                <w:szCs w:val="24"/>
                <w:lang w:eastAsia="zh-CN"/>
              </w:rPr>
            </w:pPr>
            <w:r>
              <w:rPr>
                <w:rFonts w:hint="eastAsia" w:ascii="宋体" w:hAnsi="宋体" w:eastAsia="宋体" w:cs="宋体"/>
                <w:spacing w:val="-2"/>
                <w:sz w:val="24"/>
                <w:szCs w:val="24"/>
                <w:lang w:eastAsia="zh-CN"/>
              </w:rPr>
              <w:t>电快速瞬变脉冲群抗</w:t>
            </w:r>
            <w:r>
              <w:rPr>
                <w:rFonts w:hint="eastAsia" w:ascii="宋体" w:hAnsi="宋体" w:eastAsia="宋体" w:cs="宋体"/>
                <w:spacing w:val="-127"/>
                <w:sz w:val="24"/>
                <w:szCs w:val="24"/>
                <w:lang w:eastAsia="zh-CN"/>
              </w:rPr>
              <w:t xml:space="preserve"> </w:t>
            </w:r>
            <w:r>
              <w:rPr>
                <w:rFonts w:hint="eastAsia" w:ascii="宋体" w:hAnsi="宋体" w:eastAsia="宋体" w:cs="宋体"/>
                <w:sz w:val="24"/>
                <w:szCs w:val="24"/>
                <w:lang w:eastAsia="zh-CN"/>
              </w:rPr>
              <w:t>扰度</w:t>
            </w:r>
          </w:p>
        </w:tc>
        <w:tc>
          <w:tcPr>
            <w:tcW w:w="1035" w:type="dxa"/>
            <w:tcBorders>
              <w:top w:val="single" w:color="000000" w:sz="4" w:space="0"/>
              <w:left w:val="single" w:color="000000" w:sz="4" w:space="0"/>
              <w:bottom w:val="single" w:color="000000" w:sz="4" w:space="0"/>
              <w:right w:val="single" w:color="000000" w:sz="4" w:space="0"/>
            </w:tcBorders>
            <w:vAlign w:val="center"/>
          </w:tcPr>
          <w:p w14:paraId="4823F83F">
            <w:pPr>
              <w:pStyle w:val="343"/>
              <w:kinsoku w:val="0"/>
              <w:overflowPunct w:val="0"/>
              <w:jc w:val="center"/>
              <w:rPr>
                <w:rFonts w:hint="eastAsia" w:ascii="宋体" w:hAnsi="宋体" w:eastAsia="宋体" w:cs="宋体"/>
                <w:sz w:val="24"/>
                <w:szCs w:val="24"/>
                <w:lang w:eastAsia="zh-CN"/>
              </w:rPr>
            </w:pPr>
          </w:p>
        </w:tc>
        <w:tc>
          <w:tcPr>
            <w:tcW w:w="4337" w:type="dxa"/>
            <w:tcBorders>
              <w:top w:val="single" w:color="000000" w:sz="4" w:space="0"/>
              <w:left w:val="single" w:color="000000" w:sz="4" w:space="0"/>
              <w:bottom w:val="single" w:color="000000" w:sz="4" w:space="0"/>
              <w:right w:val="single" w:color="000000" w:sz="4" w:space="0"/>
            </w:tcBorders>
            <w:vAlign w:val="center"/>
          </w:tcPr>
          <w:p w14:paraId="7719456B">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pacing w:val="-71"/>
                <w:sz w:val="24"/>
                <w:szCs w:val="24"/>
              </w:rPr>
              <w:t xml:space="preserve"> </w:t>
            </w:r>
            <w:r>
              <w:rPr>
                <w:rFonts w:hint="eastAsia" w:ascii="宋体" w:hAnsi="宋体" w:eastAsia="宋体" w:cs="宋体"/>
                <w:sz w:val="24"/>
                <w:szCs w:val="24"/>
              </w:rPr>
              <w:t>级</w:t>
            </w:r>
          </w:p>
        </w:tc>
      </w:tr>
      <w:tr w14:paraId="22ABF09A">
        <w:tblPrEx>
          <w:tblCellMar>
            <w:top w:w="0" w:type="dxa"/>
            <w:left w:w="0" w:type="dxa"/>
            <w:bottom w:w="0" w:type="dxa"/>
            <w:right w:w="0" w:type="dxa"/>
          </w:tblCellMar>
        </w:tblPrEx>
        <w:trPr>
          <w:trHeight w:val="488" w:hRule="exact"/>
        </w:trPr>
        <w:tc>
          <w:tcPr>
            <w:tcW w:w="990" w:type="dxa"/>
            <w:tcBorders>
              <w:top w:val="single" w:color="000000" w:sz="4" w:space="0"/>
              <w:left w:val="single" w:color="000000" w:sz="4" w:space="0"/>
              <w:bottom w:val="single" w:color="000000" w:sz="4" w:space="0"/>
              <w:right w:val="single" w:color="000000" w:sz="4" w:space="0"/>
            </w:tcBorders>
            <w:vAlign w:val="center"/>
          </w:tcPr>
          <w:p w14:paraId="00E92BC5">
            <w:pPr>
              <w:pStyle w:val="343"/>
              <w:kinsoku w:val="0"/>
              <w:overflowPunct w:val="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2</w:t>
            </w:r>
            <w:r>
              <w:rPr>
                <w:rFonts w:hint="eastAsia" w:ascii="宋体" w:hAnsi="宋体" w:eastAsia="宋体" w:cs="宋体"/>
                <w:sz w:val="24"/>
                <w:szCs w:val="24"/>
                <w:lang w:eastAsia="zh-CN"/>
              </w:rPr>
              <w:t>1</w:t>
            </w:r>
          </w:p>
        </w:tc>
        <w:tc>
          <w:tcPr>
            <w:tcW w:w="2698" w:type="dxa"/>
            <w:tcBorders>
              <w:top w:val="single" w:color="000000" w:sz="4" w:space="0"/>
              <w:left w:val="single" w:color="000000" w:sz="4" w:space="0"/>
              <w:bottom w:val="single" w:color="000000" w:sz="4" w:space="0"/>
              <w:right w:val="single" w:color="000000" w:sz="4" w:space="0"/>
            </w:tcBorders>
            <w:vAlign w:val="center"/>
          </w:tcPr>
          <w:p w14:paraId="45AFBBDA">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浪涌（冲击）抗扰度</w:t>
            </w:r>
          </w:p>
        </w:tc>
        <w:tc>
          <w:tcPr>
            <w:tcW w:w="1035" w:type="dxa"/>
            <w:tcBorders>
              <w:top w:val="single" w:color="000000" w:sz="4" w:space="0"/>
              <w:left w:val="single" w:color="000000" w:sz="4" w:space="0"/>
              <w:bottom w:val="single" w:color="000000" w:sz="4" w:space="0"/>
              <w:right w:val="single" w:color="000000" w:sz="4" w:space="0"/>
            </w:tcBorders>
            <w:vAlign w:val="center"/>
          </w:tcPr>
          <w:p w14:paraId="28B213B8">
            <w:pPr>
              <w:pStyle w:val="343"/>
              <w:kinsoku w:val="0"/>
              <w:overflowPunct w:val="0"/>
              <w:jc w:val="center"/>
              <w:rPr>
                <w:rFonts w:hint="eastAsia" w:ascii="宋体" w:hAnsi="宋体" w:eastAsia="宋体" w:cs="宋体"/>
                <w:sz w:val="24"/>
                <w:szCs w:val="24"/>
              </w:rPr>
            </w:pPr>
          </w:p>
        </w:tc>
        <w:tc>
          <w:tcPr>
            <w:tcW w:w="4337" w:type="dxa"/>
            <w:tcBorders>
              <w:top w:val="single" w:color="000000" w:sz="4" w:space="0"/>
              <w:left w:val="single" w:color="000000" w:sz="4" w:space="0"/>
              <w:bottom w:val="single" w:color="000000" w:sz="4" w:space="0"/>
              <w:right w:val="single" w:color="000000" w:sz="4" w:space="0"/>
            </w:tcBorders>
            <w:vAlign w:val="center"/>
          </w:tcPr>
          <w:p w14:paraId="05BB0CE8">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pacing w:val="-71"/>
                <w:sz w:val="24"/>
                <w:szCs w:val="24"/>
              </w:rPr>
              <w:t xml:space="preserve"> </w:t>
            </w:r>
            <w:r>
              <w:rPr>
                <w:rFonts w:hint="eastAsia" w:ascii="宋体" w:hAnsi="宋体" w:eastAsia="宋体" w:cs="宋体"/>
                <w:sz w:val="24"/>
                <w:szCs w:val="24"/>
              </w:rPr>
              <w:t>级</w:t>
            </w:r>
          </w:p>
        </w:tc>
      </w:tr>
      <w:tr w14:paraId="0A29AA72">
        <w:tblPrEx>
          <w:tblCellMar>
            <w:top w:w="0" w:type="dxa"/>
            <w:left w:w="0" w:type="dxa"/>
            <w:bottom w:w="0" w:type="dxa"/>
            <w:right w:w="0" w:type="dxa"/>
          </w:tblCellMar>
        </w:tblPrEx>
        <w:trPr>
          <w:trHeight w:val="488" w:hRule="exact"/>
        </w:trPr>
        <w:tc>
          <w:tcPr>
            <w:tcW w:w="990" w:type="dxa"/>
            <w:tcBorders>
              <w:top w:val="single" w:color="000000" w:sz="4" w:space="0"/>
              <w:left w:val="single" w:color="000000" w:sz="4" w:space="0"/>
              <w:bottom w:val="single" w:color="000000" w:sz="4" w:space="0"/>
              <w:right w:val="single" w:color="000000" w:sz="4" w:space="0"/>
            </w:tcBorders>
            <w:vAlign w:val="center"/>
          </w:tcPr>
          <w:p w14:paraId="3BEB2F63">
            <w:pPr>
              <w:pStyle w:val="343"/>
              <w:kinsoku w:val="0"/>
              <w:overflowPunct w:val="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2</w:t>
            </w:r>
            <w:r>
              <w:rPr>
                <w:rFonts w:hint="eastAsia" w:ascii="宋体" w:hAnsi="宋体" w:eastAsia="宋体" w:cs="宋体"/>
                <w:sz w:val="24"/>
                <w:szCs w:val="24"/>
                <w:lang w:eastAsia="zh-CN"/>
              </w:rPr>
              <w:t>2</w:t>
            </w:r>
          </w:p>
        </w:tc>
        <w:tc>
          <w:tcPr>
            <w:tcW w:w="2698" w:type="dxa"/>
            <w:tcBorders>
              <w:top w:val="single" w:color="000000" w:sz="4" w:space="0"/>
              <w:left w:val="single" w:color="000000" w:sz="4" w:space="0"/>
              <w:bottom w:val="single" w:color="000000" w:sz="4" w:space="0"/>
              <w:right w:val="single" w:color="000000" w:sz="4" w:space="0"/>
            </w:tcBorders>
            <w:vAlign w:val="center"/>
          </w:tcPr>
          <w:p w14:paraId="6646813D">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防护等级</w:t>
            </w:r>
          </w:p>
        </w:tc>
        <w:tc>
          <w:tcPr>
            <w:tcW w:w="1035" w:type="dxa"/>
            <w:tcBorders>
              <w:top w:val="single" w:color="000000" w:sz="4" w:space="0"/>
              <w:left w:val="single" w:color="000000" w:sz="4" w:space="0"/>
              <w:bottom w:val="single" w:color="000000" w:sz="4" w:space="0"/>
              <w:right w:val="single" w:color="000000" w:sz="4" w:space="0"/>
            </w:tcBorders>
            <w:vAlign w:val="center"/>
          </w:tcPr>
          <w:p w14:paraId="00F18B64">
            <w:pPr>
              <w:pStyle w:val="343"/>
              <w:kinsoku w:val="0"/>
              <w:overflowPunct w:val="0"/>
              <w:jc w:val="center"/>
              <w:rPr>
                <w:rFonts w:hint="eastAsia" w:ascii="宋体" w:hAnsi="宋体" w:eastAsia="宋体" w:cs="宋体"/>
                <w:sz w:val="24"/>
                <w:szCs w:val="24"/>
              </w:rPr>
            </w:pPr>
          </w:p>
        </w:tc>
        <w:tc>
          <w:tcPr>
            <w:tcW w:w="4337" w:type="dxa"/>
            <w:tcBorders>
              <w:top w:val="single" w:color="000000" w:sz="4" w:space="0"/>
              <w:left w:val="single" w:color="000000" w:sz="4" w:space="0"/>
              <w:bottom w:val="single" w:color="000000" w:sz="4" w:space="0"/>
              <w:right w:val="single" w:color="000000" w:sz="4" w:space="0"/>
            </w:tcBorders>
            <w:vAlign w:val="center"/>
          </w:tcPr>
          <w:p w14:paraId="020B25FE">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IP54</w:t>
            </w:r>
          </w:p>
        </w:tc>
      </w:tr>
      <w:tr w14:paraId="75F15265">
        <w:tblPrEx>
          <w:tblCellMar>
            <w:top w:w="0" w:type="dxa"/>
            <w:left w:w="0" w:type="dxa"/>
            <w:bottom w:w="0" w:type="dxa"/>
            <w:right w:w="0" w:type="dxa"/>
          </w:tblCellMar>
        </w:tblPrEx>
        <w:trPr>
          <w:trHeight w:val="718" w:hRule="exact"/>
        </w:trPr>
        <w:tc>
          <w:tcPr>
            <w:tcW w:w="990" w:type="dxa"/>
            <w:tcBorders>
              <w:top w:val="single" w:color="000000" w:sz="4" w:space="0"/>
              <w:left w:val="single" w:color="000000" w:sz="4" w:space="0"/>
              <w:bottom w:val="single" w:color="000000" w:sz="4" w:space="0"/>
              <w:right w:val="single" w:color="000000" w:sz="4" w:space="0"/>
            </w:tcBorders>
            <w:vAlign w:val="center"/>
          </w:tcPr>
          <w:p w14:paraId="07665FF2">
            <w:pPr>
              <w:pStyle w:val="343"/>
              <w:kinsoku w:val="0"/>
              <w:overflowPunct w:val="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2</w:t>
            </w:r>
            <w:r>
              <w:rPr>
                <w:rFonts w:hint="eastAsia" w:ascii="宋体" w:hAnsi="宋体" w:eastAsia="宋体" w:cs="宋体"/>
                <w:sz w:val="24"/>
                <w:szCs w:val="24"/>
                <w:lang w:eastAsia="zh-CN"/>
              </w:rPr>
              <w:t>3</w:t>
            </w:r>
          </w:p>
        </w:tc>
        <w:tc>
          <w:tcPr>
            <w:tcW w:w="2698" w:type="dxa"/>
            <w:tcBorders>
              <w:top w:val="single" w:color="000000" w:sz="4" w:space="0"/>
              <w:left w:val="single" w:color="000000" w:sz="4" w:space="0"/>
              <w:bottom w:val="single" w:color="000000" w:sz="4" w:space="0"/>
              <w:right w:val="single" w:color="000000" w:sz="4" w:space="0"/>
            </w:tcBorders>
            <w:vAlign w:val="center"/>
          </w:tcPr>
          <w:p w14:paraId="47CF8C10">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通信方式</w:t>
            </w:r>
          </w:p>
        </w:tc>
        <w:tc>
          <w:tcPr>
            <w:tcW w:w="1035" w:type="dxa"/>
            <w:tcBorders>
              <w:top w:val="single" w:color="000000" w:sz="4" w:space="0"/>
              <w:left w:val="single" w:color="000000" w:sz="4" w:space="0"/>
              <w:bottom w:val="single" w:color="000000" w:sz="4" w:space="0"/>
              <w:right w:val="single" w:color="000000" w:sz="4" w:space="0"/>
            </w:tcBorders>
            <w:vAlign w:val="center"/>
          </w:tcPr>
          <w:p w14:paraId="15B0975D">
            <w:pPr>
              <w:pStyle w:val="343"/>
              <w:kinsoku w:val="0"/>
              <w:overflowPunct w:val="0"/>
              <w:jc w:val="center"/>
              <w:rPr>
                <w:rFonts w:hint="eastAsia" w:ascii="宋体" w:hAnsi="宋体" w:eastAsia="宋体" w:cs="宋体"/>
                <w:sz w:val="24"/>
                <w:szCs w:val="24"/>
              </w:rPr>
            </w:pPr>
          </w:p>
        </w:tc>
        <w:tc>
          <w:tcPr>
            <w:tcW w:w="4337" w:type="dxa"/>
            <w:tcBorders>
              <w:top w:val="single" w:color="000000" w:sz="4" w:space="0"/>
              <w:left w:val="single" w:color="000000" w:sz="4" w:space="0"/>
              <w:bottom w:val="single" w:color="000000" w:sz="4" w:space="0"/>
              <w:right w:val="single" w:color="000000" w:sz="4" w:space="0"/>
            </w:tcBorders>
            <w:vAlign w:val="center"/>
          </w:tcPr>
          <w:p w14:paraId="37B16352">
            <w:pPr>
              <w:pStyle w:val="343"/>
              <w:kinsoku w:val="0"/>
              <w:overflowPunct w:val="0"/>
              <w:jc w:val="center"/>
              <w:rPr>
                <w:rFonts w:hint="eastAsia" w:ascii="宋体" w:hAnsi="宋体" w:eastAsia="宋体" w:cs="宋体"/>
                <w:sz w:val="24"/>
                <w:szCs w:val="24"/>
                <w:lang w:eastAsia="zh-CN"/>
              </w:rPr>
            </w:pPr>
            <w:r>
              <w:rPr>
                <w:rFonts w:hint="eastAsia" w:ascii="宋体" w:hAnsi="宋体" w:eastAsia="宋体" w:cs="宋体"/>
                <w:sz w:val="24"/>
                <w:szCs w:val="24"/>
              </w:rPr>
              <w:t>4G/以太网</w:t>
            </w:r>
          </w:p>
        </w:tc>
      </w:tr>
      <w:tr w14:paraId="030BD457">
        <w:tblPrEx>
          <w:tblCellMar>
            <w:top w:w="0" w:type="dxa"/>
            <w:left w:w="0" w:type="dxa"/>
            <w:bottom w:w="0" w:type="dxa"/>
            <w:right w:w="0" w:type="dxa"/>
          </w:tblCellMar>
        </w:tblPrEx>
        <w:trPr>
          <w:trHeight w:val="641" w:hRule="exact"/>
        </w:trPr>
        <w:tc>
          <w:tcPr>
            <w:tcW w:w="990" w:type="dxa"/>
            <w:tcBorders>
              <w:top w:val="single" w:color="000000" w:sz="4" w:space="0"/>
              <w:left w:val="single" w:color="000000" w:sz="4" w:space="0"/>
              <w:bottom w:val="single" w:color="000000" w:sz="4" w:space="0"/>
              <w:right w:val="single" w:color="000000" w:sz="4" w:space="0"/>
            </w:tcBorders>
            <w:vAlign w:val="center"/>
          </w:tcPr>
          <w:p w14:paraId="3667312B">
            <w:pPr>
              <w:pStyle w:val="343"/>
              <w:kinsoku w:val="0"/>
              <w:overflowPunct w:val="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2</w:t>
            </w:r>
            <w:r>
              <w:rPr>
                <w:rFonts w:hint="eastAsia" w:ascii="宋体" w:hAnsi="宋体" w:eastAsia="宋体" w:cs="宋体"/>
                <w:sz w:val="24"/>
                <w:szCs w:val="24"/>
                <w:lang w:eastAsia="zh-CN"/>
              </w:rPr>
              <w:t>4</w:t>
            </w:r>
          </w:p>
        </w:tc>
        <w:tc>
          <w:tcPr>
            <w:tcW w:w="2698" w:type="dxa"/>
            <w:tcBorders>
              <w:top w:val="single" w:color="000000" w:sz="4" w:space="0"/>
              <w:left w:val="single" w:color="000000" w:sz="4" w:space="0"/>
              <w:bottom w:val="single" w:color="000000" w:sz="4" w:space="0"/>
              <w:right w:val="single" w:color="000000" w:sz="4" w:space="0"/>
            </w:tcBorders>
            <w:vAlign w:val="center"/>
          </w:tcPr>
          <w:p w14:paraId="3A289B40">
            <w:pPr>
              <w:pStyle w:val="343"/>
              <w:kinsoku w:val="0"/>
              <w:overflowPunct w:val="0"/>
              <w:jc w:val="center"/>
              <w:rPr>
                <w:rFonts w:hint="eastAsia" w:ascii="宋体" w:hAnsi="宋体" w:eastAsia="宋体" w:cs="宋体"/>
                <w:sz w:val="24"/>
                <w:szCs w:val="24"/>
              </w:rPr>
            </w:pPr>
            <w:r>
              <w:rPr>
                <w:rFonts w:hint="eastAsia" w:ascii="宋体" w:hAnsi="宋体" w:eastAsia="宋体" w:cs="宋体"/>
                <w:sz w:val="24"/>
                <w:szCs w:val="24"/>
              </w:rPr>
              <w:t>人机交互</w:t>
            </w:r>
          </w:p>
        </w:tc>
        <w:tc>
          <w:tcPr>
            <w:tcW w:w="1035" w:type="dxa"/>
            <w:tcBorders>
              <w:top w:val="single" w:color="000000" w:sz="4" w:space="0"/>
              <w:left w:val="single" w:color="000000" w:sz="4" w:space="0"/>
              <w:bottom w:val="single" w:color="000000" w:sz="4" w:space="0"/>
              <w:right w:val="single" w:color="000000" w:sz="4" w:space="0"/>
            </w:tcBorders>
            <w:vAlign w:val="center"/>
          </w:tcPr>
          <w:p w14:paraId="480FC38E">
            <w:pPr>
              <w:pStyle w:val="343"/>
              <w:kinsoku w:val="0"/>
              <w:overflowPunct w:val="0"/>
              <w:jc w:val="center"/>
              <w:rPr>
                <w:rFonts w:hint="eastAsia" w:ascii="宋体" w:hAnsi="宋体" w:eastAsia="宋体" w:cs="宋体"/>
                <w:sz w:val="24"/>
                <w:szCs w:val="24"/>
              </w:rPr>
            </w:pPr>
          </w:p>
        </w:tc>
        <w:tc>
          <w:tcPr>
            <w:tcW w:w="4337" w:type="dxa"/>
            <w:tcBorders>
              <w:top w:val="single" w:color="000000" w:sz="4" w:space="0"/>
              <w:left w:val="single" w:color="000000" w:sz="4" w:space="0"/>
              <w:bottom w:val="single" w:color="000000" w:sz="4" w:space="0"/>
              <w:right w:val="single" w:color="000000" w:sz="4" w:space="0"/>
            </w:tcBorders>
            <w:vAlign w:val="center"/>
          </w:tcPr>
          <w:p w14:paraId="0C1C4A7B">
            <w:pPr>
              <w:pStyle w:val="343"/>
              <w:kinsoku w:val="0"/>
              <w:overflowPunct w:val="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7</w:t>
            </w:r>
            <w:r>
              <w:rPr>
                <w:rFonts w:hint="eastAsia" w:ascii="宋体" w:hAnsi="宋体" w:eastAsia="宋体" w:cs="宋体"/>
                <w:spacing w:val="-77"/>
                <w:sz w:val="24"/>
                <w:szCs w:val="24"/>
                <w:lang w:eastAsia="zh-CN"/>
              </w:rPr>
              <w:t xml:space="preserve"> </w:t>
            </w:r>
            <w:r>
              <w:rPr>
                <w:rFonts w:hint="eastAsia" w:ascii="宋体" w:hAnsi="宋体" w:eastAsia="宋体" w:cs="宋体"/>
                <w:sz w:val="24"/>
                <w:szCs w:val="24"/>
                <w:lang w:eastAsia="zh-CN"/>
              </w:rPr>
              <w:t>寸电阻彩色液晶显示屏</w:t>
            </w:r>
          </w:p>
          <w:p w14:paraId="5626409C">
            <w:pPr>
              <w:pStyle w:val="343"/>
              <w:kinsoku w:val="0"/>
              <w:overflowPunct w:val="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（触摸式）</w:t>
            </w:r>
          </w:p>
        </w:tc>
      </w:tr>
      <w:tr w14:paraId="7B8152C2">
        <w:tblPrEx>
          <w:tblCellMar>
            <w:top w:w="0" w:type="dxa"/>
            <w:left w:w="0" w:type="dxa"/>
            <w:bottom w:w="0" w:type="dxa"/>
            <w:right w:w="0" w:type="dxa"/>
          </w:tblCellMar>
        </w:tblPrEx>
        <w:trPr>
          <w:trHeight w:val="641" w:hRule="exact"/>
        </w:trPr>
        <w:tc>
          <w:tcPr>
            <w:tcW w:w="990" w:type="dxa"/>
            <w:tcBorders>
              <w:top w:val="single" w:color="000000" w:sz="4" w:space="0"/>
              <w:left w:val="single" w:color="000000" w:sz="4" w:space="0"/>
              <w:bottom w:val="single" w:color="000000" w:sz="4" w:space="0"/>
              <w:right w:val="single" w:color="000000" w:sz="4" w:space="0"/>
            </w:tcBorders>
            <w:vAlign w:val="center"/>
          </w:tcPr>
          <w:p w14:paraId="559D0509">
            <w:pPr>
              <w:pStyle w:val="343"/>
              <w:kinsoku w:val="0"/>
              <w:overflowPunct w:val="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2</w:t>
            </w:r>
            <w:r>
              <w:rPr>
                <w:rFonts w:hint="eastAsia" w:ascii="宋体" w:hAnsi="宋体" w:eastAsia="宋体" w:cs="宋体"/>
                <w:sz w:val="24"/>
                <w:szCs w:val="24"/>
                <w:lang w:eastAsia="zh-CN"/>
              </w:rPr>
              <w:t>5</w:t>
            </w:r>
          </w:p>
        </w:tc>
        <w:tc>
          <w:tcPr>
            <w:tcW w:w="2698" w:type="dxa"/>
            <w:tcBorders>
              <w:top w:val="single" w:color="000000" w:sz="4" w:space="0"/>
              <w:left w:val="single" w:color="000000" w:sz="4" w:space="0"/>
              <w:bottom w:val="single" w:color="000000" w:sz="4" w:space="0"/>
              <w:right w:val="single" w:color="000000" w:sz="4" w:space="0"/>
            </w:tcBorders>
            <w:vAlign w:val="center"/>
          </w:tcPr>
          <w:p w14:paraId="75AFA817">
            <w:pPr>
              <w:pStyle w:val="343"/>
              <w:kinsoku w:val="0"/>
              <w:overflowPunct w:val="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启动方式</w:t>
            </w:r>
          </w:p>
        </w:tc>
        <w:tc>
          <w:tcPr>
            <w:tcW w:w="1035" w:type="dxa"/>
            <w:tcBorders>
              <w:top w:val="single" w:color="000000" w:sz="4" w:space="0"/>
              <w:left w:val="single" w:color="000000" w:sz="4" w:space="0"/>
              <w:bottom w:val="single" w:color="000000" w:sz="4" w:space="0"/>
              <w:right w:val="single" w:color="000000" w:sz="4" w:space="0"/>
            </w:tcBorders>
            <w:vAlign w:val="center"/>
          </w:tcPr>
          <w:p w14:paraId="28AC1732">
            <w:pPr>
              <w:pStyle w:val="343"/>
              <w:kinsoku w:val="0"/>
              <w:overflowPunct w:val="0"/>
              <w:jc w:val="center"/>
              <w:rPr>
                <w:rFonts w:hint="eastAsia" w:ascii="宋体" w:hAnsi="宋体" w:eastAsia="宋体" w:cs="宋体"/>
                <w:sz w:val="24"/>
                <w:szCs w:val="24"/>
              </w:rPr>
            </w:pPr>
          </w:p>
        </w:tc>
        <w:tc>
          <w:tcPr>
            <w:tcW w:w="4337" w:type="dxa"/>
            <w:tcBorders>
              <w:top w:val="single" w:color="000000" w:sz="4" w:space="0"/>
              <w:left w:val="single" w:color="000000" w:sz="4" w:space="0"/>
              <w:bottom w:val="single" w:color="000000" w:sz="4" w:space="0"/>
              <w:right w:val="single" w:color="000000" w:sz="4" w:space="0"/>
            </w:tcBorders>
            <w:vAlign w:val="center"/>
          </w:tcPr>
          <w:p w14:paraId="2008EA17">
            <w:pPr>
              <w:pStyle w:val="343"/>
              <w:kinsoku w:val="0"/>
              <w:overflowPunct w:val="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扫码/</w:t>
            </w:r>
            <w:r>
              <w:rPr>
                <w:rFonts w:hint="eastAsia" w:ascii="宋体" w:hAnsi="宋体" w:eastAsia="宋体" w:cs="宋体"/>
                <w:sz w:val="24"/>
                <w:szCs w:val="24"/>
                <w:lang w:eastAsia="zh-CN"/>
              </w:rPr>
              <w:t>VIN</w:t>
            </w:r>
            <w:r>
              <w:rPr>
                <w:rFonts w:hint="eastAsia" w:ascii="宋体" w:hAnsi="宋体" w:eastAsia="宋体" w:cs="宋体"/>
                <w:sz w:val="24"/>
                <w:szCs w:val="24"/>
                <w:lang w:eastAsia="zh-CN"/>
              </w:rPr>
              <w:t>/刷卡</w:t>
            </w:r>
          </w:p>
        </w:tc>
      </w:tr>
      <w:tr w14:paraId="169AC0BE">
        <w:tblPrEx>
          <w:tblCellMar>
            <w:top w:w="0" w:type="dxa"/>
            <w:left w:w="0" w:type="dxa"/>
            <w:bottom w:w="0" w:type="dxa"/>
            <w:right w:w="0" w:type="dxa"/>
          </w:tblCellMar>
        </w:tblPrEx>
        <w:trPr>
          <w:trHeight w:val="641" w:hRule="exact"/>
        </w:trPr>
        <w:tc>
          <w:tcPr>
            <w:tcW w:w="990" w:type="dxa"/>
            <w:tcBorders>
              <w:top w:val="single" w:color="000000" w:sz="4" w:space="0"/>
              <w:left w:val="single" w:color="000000" w:sz="4" w:space="0"/>
              <w:bottom w:val="single" w:color="000000" w:sz="4" w:space="0"/>
              <w:right w:val="single" w:color="000000" w:sz="4" w:space="0"/>
            </w:tcBorders>
            <w:vAlign w:val="center"/>
          </w:tcPr>
          <w:p w14:paraId="62408C9F">
            <w:pPr>
              <w:pStyle w:val="343"/>
              <w:kinsoku w:val="0"/>
              <w:overflowPunct w:val="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2</w:t>
            </w:r>
            <w:r>
              <w:rPr>
                <w:rFonts w:hint="eastAsia" w:ascii="宋体" w:hAnsi="宋体" w:eastAsia="宋体" w:cs="宋体"/>
                <w:sz w:val="24"/>
                <w:szCs w:val="24"/>
                <w:lang w:eastAsia="zh-CN"/>
              </w:rPr>
              <w:t>6</w:t>
            </w:r>
          </w:p>
        </w:tc>
        <w:tc>
          <w:tcPr>
            <w:tcW w:w="2698" w:type="dxa"/>
            <w:tcBorders>
              <w:top w:val="single" w:color="000000" w:sz="4" w:space="0"/>
              <w:left w:val="single" w:color="000000" w:sz="4" w:space="0"/>
              <w:bottom w:val="single" w:color="000000" w:sz="4" w:space="0"/>
              <w:right w:val="single" w:color="000000" w:sz="4" w:space="0"/>
            </w:tcBorders>
            <w:vAlign w:val="center"/>
          </w:tcPr>
          <w:p w14:paraId="2F27A575">
            <w:pPr>
              <w:pStyle w:val="343"/>
              <w:kinsoku w:val="0"/>
              <w:overflowPunct w:val="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外观</w:t>
            </w:r>
          </w:p>
        </w:tc>
        <w:tc>
          <w:tcPr>
            <w:tcW w:w="1035" w:type="dxa"/>
            <w:tcBorders>
              <w:top w:val="single" w:color="000000" w:sz="4" w:space="0"/>
              <w:left w:val="single" w:color="000000" w:sz="4" w:space="0"/>
              <w:bottom w:val="single" w:color="000000" w:sz="4" w:space="0"/>
              <w:right w:val="single" w:color="000000" w:sz="4" w:space="0"/>
            </w:tcBorders>
            <w:vAlign w:val="center"/>
          </w:tcPr>
          <w:p w14:paraId="7703F3D5">
            <w:pPr>
              <w:pStyle w:val="343"/>
              <w:kinsoku w:val="0"/>
              <w:overflowPunct w:val="0"/>
              <w:jc w:val="center"/>
              <w:rPr>
                <w:rFonts w:hint="eastAsia" w:ascii="宋体" w:hAnsi="宋体" w:eastAsia="宋体" w:cs="宋体"/>
                <w:sz w:val="24"/>
                <w:szCs w:val="24"/>
              </w:rPr>
            </w:pPr>
          </w:p>
        </w:tc>
        <w:tc>
          <w:tcPr>
            <w:tcW w:w="4337" w:type="dxa"/>
            <w:tcBorders>
              <w:top w:val="single" w:color="000000" w:sz="4" w:space="0"/>
              <w:left w:val="single" w:color="000000" w:sz="4" w:space="0"/>
              <w:bottom w:val="single" w:color="000000" w:sz="4" w:space="0"/>
              <w:right w:val="single" w:color="000000" w:sz="4" w:space="0"/>
            </w:tcBorders>
            <w:vAlign w:val="center"/>
          </w:tcPr>
          <w:p w14:paraId="62C1DD2E">
            <w:pPr>
              <w:pStyle w:val="343"/>
              <w:kinsoku w:val="0"/>
              <w:overflowPunct w:val="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支持定制化外观</w:t>
            </w:r>
          </w:p>
        </w:tc>
      </w:tr>
      <w:tr w14:paraId="3E88D709">
        <w:tblPrEx>
          <w:tblCellMar>
            <w:top w:w="0" w:type="dxa"/>
            <w:left w:w="0" w:type="dxa"/>
            <w:bottom w:w="0" w:type="dxa"/>
            <w:right w:w="0" w:type="dxa"/>
          </w:tblCellMar>
        </w:tblPrEx>
        <w:trPr>
          <w:trHeight w:val="641" w:hRule="exact"/>
        </w:trPr>
        <w:tc>
          <w:tcPr>
            <w:tcW w:w="990" w:type="dxa"/>
            <w:tcBorders>
              <w:top w:val="single" w:color="000000" w:sz="4" w:space="0"/>
              <w:left w:val="single" w:color="000000" w:sz="4" w:space="0"/>
              <w:bottom w:val="single" w:color="000000" w:sz="4" w:space="0"/>
              <w:right w:val="single" w:color="000000" w:sz="4" w:space="0"/>
            </w:tcBorders>
            <w:vAlign w:val="center"/>
          </w:tcPr>
          <w:p w14:paraId="5B4563B0">
            <w:pPr>
              <w:pStyle w:val="343"/>
              <w:kinsoku w:val="0"/>
              <w:overflowPunct w:val="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2</w:t>
            </w:r>
            <w:r>
              <w:rPr>
                <w:rFonts w:hint="eastAsia" w:ascii="宋体" w:hAnsi="宋体" w:eastAsia="宋体" w:cs="宋体"/>
                <w:sz w:val="24"/>
                <w:szCs w:val="24"/>
                <w:lang w:eastAsia="zh-CN"/>
              </w:rPr>
              <w:t>7</w:t>
            </w:r>
          </w:p>
        </w:tc>
        <w:tc>
          <w:tcPr>
            <w:tcW w:w="2698" w:type="dxa"/>
            <w:tcBorders>
              <w:top w:val="single" w:color="000000" w:sz="4" w:space="0"/>
              <w:left w:val="single" w:color="000000" w:sz="4" w:space="0"/>
              <w:bottom w:val="single" w:color="000000" w:sz="4" w:space="0"/>
              <w:right w:val="single" w:color="000000" w:sz="4" w:space="0"/>
            </w:tcBorders>
            <w:vAlign w:val="center"/>
          </w:tcPr>
          <w:p w14:paraId="73BD0C6E">
            <w:pPr>
              <w:pStyle w:val="343"/>
              <w:kinsoku w:val="0"/>
              <w:overflowPunct w:val="0"/>
              <w:jc w:val="center"/>
              <w:rPr>
                <w:rFonts w:hint="eastAsia" w:ascii="宋体" w:hAnsi="宋体" w:eastAsia="宋体" w:cs="宋体"/>
                <w:sz w:val="24"/>
                <w:szCs w:val="24"/>
                <w:lang w:eastAsia="zh-CN"/>
              </w:rPr>
            </w:pPr>
            <w:r>
              <w:rPr>
                <w:rFonts w:hint="eastAsia" w:ascii="宋体" w:hAnsi="宋体" w:eastAsia="宋体" w:cs="宋体"/>
                <w:sz w:val="24"/>
                <w:szCs w:val="24"/>
              </w:rPr>
              <w:t>柜体倾倒检测</w:t>
            </w:r>
          </w:p>
        </w:tc>
        <w:tc>
          <w:tcPr>
            <w:tcW w:w="1035" w:type="dxa"/>
            <w:tcBorders>
              <w:top w:val="single" w:color="000000" w:sz="4" w:space="0"/>
              <w:left w:val="single" w:color="000000" w:sz="4" w:space="0"/>
              <w:bottom w:val="single" w:color="000000" w:sz="4" w:space="0"/>
              <w:right w:val="single" w:color="000000" w:sz="4" w:space="0"/>
            </w:tcBorders>
            <w:vAlign w:val="center"/>
          </w:tcPr>
          <w:p w14:paraId="5F09BC09">
            <w:pPr>
              <w:pStyle w:val="343"/>
              <w:kinsoku w:val="0"/>
              <w:overflowPunct w:val="0"/>
              <w:jc w:val="center"/>
              <w:rPr>
                <w:rFonts w:hint="eastAsia" w:ascii="宋体" w:hAnsi="宋体" w:eastAsia="宋体" w:cs="宋体"/>
                <w:sz w:val="24"/>
                <w:szCs w:val="24"/>
              </w:rPr>
            </w:pPr>
          </w:p>
        </w:tc>
        <w:tc>
          <w:tcPr>
            <w:tcW w:w="4337" w:type="dxa"/>
            <w:tcBorders>
              <w:top w:val="single" w:color="000000" w:sz="4" w:space="0"/>
              <w:left w:val="single" w:color="000000" w:sz="4" w:space="0"/>
              <w:bottom w:val="single" w:color="000000" w:sz="4" w:space="0"/>
              <w:right w:val="single" w:color="000000" w:sz="4" w:space="0"/>
            </w:tcBorders>
            <w:vAlign w:val="center"/>
          </w:tcPr>
          <w:p w14:paraId="0A8C56D7">
            <w:pPr>
              <w:pStyle w:val="343"/>
              <w:kinsoku w:val="0"/>
              <w:overflowPunct w:val="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可选配</w:t>
            </w:r>
          </w:p>
        </w:tc>
      </w:tr>
    </w:tbl>
    <w:p w14:paraId="70AC5C68">
      <w:pPr>
        <w:rPr>
          <w:rFonts w:hint="eastAsia" w:ascii="宋体" w:hAnsi="宋体" w:eastAsia="宋体" w:cs="宋体"/>
        </w:rPr>
      </w:pPr>
    </w:p>
    <w:p w14:paraId="034EA499">
      <w:pPr>
        <w:pStyle w:val="2"/>
        <w:pageBreakBefore w:val="0"/>
        <w:tabs>
          <w:tab w:val="left" w:pos="6600"/>
        </w:tabs>
        <w:kinsoku w:val="0"/>
        <w:wordWrap/>
        <w:overflowPunct w:val="0"/>
        <w:topLinePunct w:val="0"/>
        <w:autoSpaceDE/>
        <w:autoSpaceDN/>
        <w:bidi w:val="0"/>
        <w:adjustRightInd/>
        <w:snapToGrid/>
        <w:spacing w:line="360" w:lineRule="auto"/>
        <w:ind w:left="244" w:right="190" w:hanging="142"/>
        <w:textAlignment w:val="auto"/>
        <w:rPr>
          <w:rFonts w:hint="eastAsia" w:ascii="宋体" w:hAnsi="宋体" w:eastAsia="宋体" w:cs="宋体"/>
          <w:spacing w:val="-2"/>
        </w:rPr>
      </w:pPr>
      <w:r>
        <w:rPr>
          <w:rFonts w:hint="eastAsia" w:ascii="宋体" w:hAnsi="宋体" w:eastAsia="宋体" w:cs="宋体"/>
          <w:spacing w:val="-2"/>
        </w:rPr>
        <w:t>产品在下列环境使用条件应满足可靠运行</w:t>
      </w:r>
    </w:p>
    <w:p w14:paraId="249FB242">
      <w:pPr>
        <w:pStyle w:val="2"/>
        <w:pageBreakBefore w:val="0"/>
        <w:kinsoku w:val="0"/>
        <w:wordWrap/>
        <w:overflowPunct w:val="0"/>
        <w:topLinePunct w:val="0"/>
        <w:autoSpaceDE/>
        <w:autoSpaceDN/>
        <w:bidi w:val="0"/>
        <w:adjustRightInd/>
        <w:snapToGrid/>
        <w:spacing w:line="360" w:lineRule="auto"/>
        <w:ind w:firstLine="240" w:firstLineChars="100"/>
        <w:textAlignment w:val="auto"/>
        <w:rPr>
          <w:rFonts w:hint="eastAsia" w:ascii="宋体" w:hAnsi="宋体" w:eastAsia="宋体" w:cs="宋体"/>
        </w:rPr>
      </w:pPr>
      <w:r>
        <w:rPr>
          <w:rFonts w:hint="eastAsia" w:ascii="宋体" w:hAnsi="宋体" w:eastAsia="宋体" w:cs="宋体"/>
        </w:rPr>
        <w:t>（</w:t>
      </w:r>
      <w:r>
        <w:rPr>
          <w:rFonts w:hint="eastAsia" w:ascii="宋体" w:hAnsi="宋体" w:eastAsia="宋体" w:cs="宋体"/>
        </w:rPr>
        <w:t>1</w:t>
      </w:r>
      <w:r>
        <w:rPr>
          <w:rFonts w:hint="eastAsia" w:ascii="宋体" w:hAnsi="宋体" w:eastAsia="宋体" w:cs="宋体"/>
        </w:rPr>
        <w:t>）环境温度：</w:t>
      </w:r>
      <w:r>
        <w:rPr>
          <w:rFonts w:hint="eastAsia" w:ascii="宋体" w:hAnsi="宋体" w:eastAsia="宋体" w:cs="宋体"/>
        </w:rPr>
        <w:t>-20</w:t>
      </w:r>
      <w:r>
        <w:rPr>
          <w:rFonts w:hint="eastAsia" w:ascii="宋体" w:hAnsi="宋体" w:eastAsia="宋体" w:cs="宋体"/>
        </w:rPr>
        <w:t>℃～</w:t>
      </w:r>
      <w:r>
        <w:rPr>
          <w:rFonts w:hint="eastAsia" w:ascii="宋体" w:hAnsi="宋体" w:eastAsia="宋体" w:cs="宋体"/>
        </w:rPr>
        <w:t>50</w:t>
      </w:r>
      <w:r>
        <w:rPr>
          <w:rFonts w:hint="eastAsia" w:ascii="宋体" w:hAnsi="宋体" w:eastAsia="宋体" w:cs="宋体"/>
        </w:rPr>
        <w:t>℃；</w:t>
      </w:r>
    </w:p>
    <w:p w14:paraId="419E096C">
      <w:pPr>
        <w:pStyle w:val="2"/>
        <w:pageBreakBefore w:val="0"/>
        <w:kinsoku w:val="0"/>
        <w:wordWrap/>
        <w:overflowPunct w:val="0"/>
        <w:topLinePunct w:val="0"/>
        <w:autoSpaceDE/>
        <w:autoSpaceDN/>
        <w:bidi w:val="0"/>
        <w:adjustRightInd/>
        <w:snapToGrid/>
        <w:spacing w:line="360" w:lineRule="auto"/>
        <w:ind w:firstLine="240" w:firstLineChars="100"/>
        <w:textAlignment w:val="auto"/>
        <w:rPr>
          <w:rFonts w:hint="eastAsia" w:ascii="宋体" w:hAnsi="宋体" w:eastAsia="宋体" w:cs="宋体"/>
        </w:rPr>
      </w:pPr>
      <w:r>
        <w:rPr>
          <w:rFonts w:hint="eastAsia" w:ascii="宋体" w:hAnsi="宋体" w:eastAsia="宋体" w:cs="宋体"/>
        </w:rPr>
        <w:t>（</w:t>
      </w:r>
      <w:r>
        <w:rPr>
          <w:rFonts w:hint="eastAsia" w:ascii="宋体" w:hAnsi="宋体" w:eastAsia="宋体" w:cs="宋体"/>
        </w:rPr>
        <w:t>2</w:t>
      </w:r>
      <w:r>
        <w:rPr>
          <w:rFonts w:hint="eastAsia" w:ascii="宋体" w:hAnsi="宋体" w:eastAsia="宋体" w:cs="宋体"/>
        </w:rPr>
        <w:t>）相对湿度：</w:t>
      </w:r>
      <w:r>
        <w:rPr>
          <w:rFonts w:hint="eastAsia" w:ascii="宋体" w:hAnsi="宋体" w:eastAsia="宋体" w:cs="宋体"/>
        </w:rPr>
        <w:t>5</w:t>
      </w:r>
      <w:r>
        <w:rPr>
          <w:rFonts w:hint="eastAsia" w:ascii="宋体" w:hAnsi="宋体" w:eastAsia="宋体" w:cs="宋体"/>
        </w:rPr>
        <w:t>％～</w:t>
      </w:r>
      <w:r>
        <w:rPr>
          <w:rFonts w:hint="eastAsia" w:ascii="宋体" w:hAnsi="宋体" w:eastAsia="宋体" w:cs="宋体"/>
        </w:rPr>
        <w:t>95</w:t>
      </w:r>
      <w:r>
        <w:rPr>
          <w:rFonts w:hint="eastAsia" w:ascii="宋体" w:hAnsi="宋体" w:eastAsia="宋体" w:cs="宋体"/>
        </w:rPr>
        <w:t>％；</w:t>
      </w:r>
    </w:p>
    <w:p w14:paraId="42B07E80">
      <w:pPr>
        <w:pStyle w:val="2"/>
        <w:pageBreakBefore w:val="0"/>
        <w:kinsoku w:val="0"/>
        <w:wordWrap/>
        <w:overflowPunct w:val="0"/>
        <w:topLinePunct w:val="0"/>
        <w:autoSpaceDE/>
        <w:autoSpaceDN/>
        <w:bidi w:val="0"/>
        <w:adjustRightInd/>
        <w:snapToGrid/>
        <w:spacing w:line="360" w:lineRule="auto"/>
        <w:ind w:firstLine="240" w:firstLineChars="100"/>
        <w:textAlignment w:val="auto"/>
        <w:rPr>
          <w:rFonts w:hint="eastAsia" w:ascii="宋体" w:hAnsi="宋体" w:eastAsia="宋体" w:cs="宋体"/>
        </w:rPr>
      </w:pPr>
      <w:r>
        <w:rPr>
          <w:rFonts w:hint="eastAsia" w:ascii="宋体" w:hAnsi="宋体" w:eastAsia="宋体" w:cs="宋体"/>
        </w:rPr>
        <w:t>（</w:t>
      </w:r>
      <w:r>
        <w:rPr>
          <w:rFonts w:hint="eastAsia" w:ascii="宋体" w:hAnsi="宋体" w:eastAsia="宋体" w:cs="宋体"/>
        </w:rPr>
        <w:t>3</w:t>
      </w:r>
      <w:r>
        <w:rPr>
          <w:rFonts w:hint="eastAsia" w:ascii="宋体" w:hAnsi="宋体" w:eastAsia="宋体" w:cs="宋体"/>
        </w:rPr>
        <w:t>）海拔高度：≤</w:t>
      </w:r>
      <w:r>
        <w:rPr>
          <w:rFonts w:hint="eastAsia" w:ascii="宋体" w:hAnsi="宋体" w:eastAsia="宋体" w:cs="宋体"/>
        </w:rPr>
        <w:t>2000m</w:t>
      </w:r>
      <w:r>
        <w:rPr>
          <w:rFonts w:hint="eastAsia" w:ascii="宋体" w:hAnsi="宋体" w:eastAsia="宋体" w:cs="宋体"/>
        </w:rPr>
        <w:t>；</w:t>
      </w:r>
    </w:p>
    <w:p w14:paraId="77F5258F">
      <w:pPr>
        <w:pStyle w:val="2"/>
        <w:pageBreakBefore w:val="0"/>
        <w:kinsoku w:val="0"/>
        <w:wordWrap/>
        <w:overflowPunct w:val="0"/>
        <w:topLinePunct w:val="0"/>
        <w:autoSpaceDE/>
        <w:autoSpaceDN/>
        <w:bidi w:val="0"/>
        <w:adjustRightInd/>
        <w:snapToGrid/>
        <w:spacing w:line="360" w:lineRule="auto"/>
        <w:ind w:firstLine="236" w:firstLineChars="100"/>
        <w:textAlignment w:val="auto"/>
        <w:rPr>
          <w:rFonts w:hint="eastAsia" w:ascii="宋体" w:hAnsi="宋体" w:eastAsia="宋体" w:cs="宋体"/>
        </w:rPr>
      </w:pPr>
      <w:r>
        <w:rPr>
          <w:rFonts w:hint="eastAsia" w:ascii="宋体" w:hAnsi="宋体" w:eastAsia="宋体" w:cs="宋体"/>
          <w:spacing w:val="-2"/>
        </w:rPr>
        <w:t>（</w:t>
      </w:r>
      <w:r>
        <w:rPr>
          <w:rFonts w:hint="eastAsia" w:ascii="宋体" w:hAnsi="宋体" w:eastAsia="宋体" w:cs="宋体"/>
          <w:spacing w:val="-2"/>
        </w:rPr>
        <w:t>4</w:t>
      </w:r>
      <w:r>
        <w:rPr>
          <w:rFonts w:hint="eastAsia" w:ascii="宋体" w:hAnsi="宋体" w:eastAsia="宋体" w:cs="宋体"/>
          <w:spacing w:val="-2"/>
        </w:rPr>
        <w:t>）大气压强：</w:t>
      </w:r>
      <w:r>
        <w:rPr>
          <w:rFonts w:hint="eastAsia" w:ascii="宋体" w:hAnsi="宋体" w:eastAsia="宋体" w:cs="宋体"/>
          <w:spacing w:val="-2"/>
        </w:rPr>
        <w:t>80kPa</w:t>
      </w:r>
      <w:r>
        <w:rPr>
          <w:rFonts w:hint="eastAsia" w:ascii="宋体" w:hAnsi="宋体" w:eastAsia="宋体" w:cs="宋体"/>
          <w:spacing w:val="-2"/>
        </w:rPr>
        <w:t>～</w:t>
      </w:r>
      <w:r>
        <w:rPr>
          <w:rFonts w:hint="eastAsia" w:ascii="宋体" w:hAnsi="宋体" w:eastAsia="宋体" w:cs="宋体"/>
          <w:spacing w:val="-2"/>
        </w:rPr>
        <w:t>110kPa</w:t>
      </w:r>
      <w:r>
        <w:rPr>
          <w:rFonts w:hint="eastAsia" w:ascii="宋体" w:hAnsi="宋体" w:eastAsia="宋体" w:cs="宋体"/>
          <w:spacing w:val="-2"/>
        </w:rPr>
        <w:t>。</w:t>
      </w:r>
    </w:p>
    <w:p w14:paraId="6754A606">
      <w:pPr>
        <w:pStyle w:val="8"/>
        <w:keepNext/>
        <w:keepLines/>
        <w:pageBreakBefore w:val="0"/>
        <w:widowControl w:val="0"/>
        <w:kinsoku/>
        <w:wordWrap/>
        <w:overflowPunct/>
        <w:topLinePunct w:val="0"/>
        <w:autoSpaceDE/>
        <w:autoSpaceDN/>
        <w:bidi w:val="0"/>
        <w:adjustRightInd/>
        <w:snapToGrid/>
        <w:spacing w:before="0" w:after="0" w:line="360" w:lineRule="auto"/>
        <w:ind w:right="2874"/>
        <w:textAlignment w:val="auto"/>
        <w:rPr>
          <w:rFonts w:hint="eastAsia" w:ascii="宋体" w:hAnsi="宋体" w:eastAsia="宋体" w:cs="宋体"/>
          <w:sz w:val="24"/>
        </w:rPr>
      </w:pPr>
      <w:r>
        <w:rPr>
          <w:rFonts w:hint="eastAsia" w:ascii="宋体" w:hAnsi="宋体" w:eastAsia="宋体" w:cs="宋体"/>
          <w:sz w:val="24"/>
        </w:rPr>
        <w:t xml:space="preserve">3.4 </w:t>
      </w:r>
      <w:r>
        <w:rPr>
          <w:rFonts w:hint="eastAsia" w:ascii="宋体" w:hAnsi="宋体" w:eastAsia="宋体" w:cs="宋体"/>
          <w:sz w:val="24"/>
        </w:rPr>
        <w:t>电源及辅助电源条件</w:t>
      </w:r>
    </w:p>
    <w:p w14:paraId="0F60C02C">
      <w:pPr>
        <w:pStyle w:val="2"/>
        <w:pageBreakBefore w:val="0"/>
        <w:kinsoku w:val="0"/>
        <w:wordWrap/>
        <w:overflowPunct w:val="0"/>
        <w:topLinePunct w:val="0"/>
        <w:autoSpaceDE/>
        <w:autoSpaceDN/>
        <w:bidi w:val="0"/>
        <w:adjustRightInd/>
        <w:snapToGrid/>
        <w:spacing w:line="360" w:lineRule="auto"/>
        <w:ind w:firstLine="240" w:firstLineChars="100"/>
        <w:textAlignment w:val="auto"/>
        <w:rPr>
          <w:rFonts w:hint="eastAsia" w:ascii="宋体" w:hAnsi="宋体" w:eastAsia="宋体" w:cs="宋体"/>
        </w:rPr>
      </w:pPr>
      <w:r>
        <w:rPr>
          <w:rFonts w:hint="eastAsia" w:ascii="宋体" w:hAnsi="宋体" w:eastAsia="宋体" w:cs="宋体"/>
        </w:rPr>
        <w:t>（1）交流输入电压：380V±15％；</w:t>
      </w:r>
    </w:p>
    <w:p w14:paraId="6239BBDB">
      <w:pPr>
        <w:pStyle w:val="2"/>
        <w:pageBreakBefore w:val="0"/>
        <w:kinsoku w:val="0"/>
        <w:wordWrap/>
        <w:overflowPunct w:val="0"/>
        <w:topLinePunct w:val="0"/>
        <w:autoSpaceDE/>
        <w:autoSpaceDN/>
        <w:bidi w:val="0"/>
        <w:adjustRightInd/>
        <w:snapToGrid/>
        <w:spacing w:line="360" w:lineRule="auto"/>
        <w:ind w:firstLine="240" w:firstLineChars="100"/>
        <w:textAlignment w:val="auto"/>
        <w:rPr>
          <w:rFonts w:hint="eastAsia" w:ascii="宋体" w:hAnsi="宋体" w:eastAsia="宋体" w:cs="宋体"/>
        </w:rPr>
      </w:pPr>
      <w:r>
        <w:rPr>
          <w:rFonts w:hint="eastAsia" w:ascii="宋体" w:hAnsi="宋体" w:eastAsia="宋体" w:cs="宋体"/>
        </w:rPr>
        <w:t>（2）交流电源频率：50Hz±1Hz。</w:t>
      </w:r>
    </w:p>
    <w:p w14:paraId="0F780098">
      <w:pPr>
        <w:pStyle w:val="2"/>
        <w:pageBreakBefore w:val="0"/>
        <w:kinsoku w:val="0"/>
        <w:wordWrap/>
        <w:overflowPunct w:val="0"/>
        <w:topLinePunct w:val="0"/>
        <w:autoSpaceDE/>
        <w:autoSpaceDN/>
        <w:bidi w:val="0"/>
        <w:adjustRightInd/>
        <w:snapToGrid/>
        <w:spacing w:line="360" w:lineRule="auto"/>
        <w:ind w:firstLine="240" w:firstLineChars="100"/>
        <w:textAlignment w:val="auto"/>
        <w:rPr>
          <w:rFonts w:hint="eastAsia" w:ascii="宋体" w:hAnsi="宋体" w:eastAsia="宋体" w:cs="宋体"/>
        </w:rPr>
      </w:pPr>
      <w:r>
        <w:rPr>
          <w:rFonts w:hint="eastAsia" w:ascii="宋体" w:hAnsi="宋体" w:eastAsia="宋体" w:cs="宋体"/>
        </w:rPr>
        <w:t>（3）低压辅助电源：充电机应能为电动汽车提供低压辅助电源。</w:t>
      </w:r>
    </w:p>
    <w:p w14:paraId="47934FB2">
      <w:pPr>
        <w:pStyle w:val="2"/>
        <w:pageBreakBefore w:val="0"/>
        <w:kinsoku w:val="0"/>
        <w:wordWrap/>
        <w:overflowPunct w:val="0"/>
        <w:topLinePunct w:val="0"/>
        <w:autoSpaceDE/>
        <w:autoSpaceDN/>
        <w:bidi w:val="0"/>
        <w:adjustRightInd/>
        <w:snapToGrid/>
        <w:spacing w:line="360" w:lineRule="auto"/>
        <w:ind w:firstLine="240" w:firstLineChars="100"/>
        <w:textAlignment w:val="auto"/>
        <w:rPr>
          <w:rFonts w:hint="eastAsia" w:ascii="宋体" w:hAnsi="宋体" w:eastAsia="宋体" w:cs="宋体"/>
        </w:rPr>
      </w:pPr>
      <w:r>
        <w:rPr>
          <w:rFonts w:hint="eastAsia" w:ascii="宋体" w:hAnsi="宋体" w:eastAsia="宋体" w:cs="宋体"/>
        </w:rPr>
        <w:t>（4）辅助电源电压：12V；</w:t>
      </w:r>
    </w:p>
    <w:p w14:paraId="3A3383CD">
      <w:pPr>
        <w:pStyle w:val="2"/>
        <w:pageBreakBefore w:val="0"/>
        <w:kinsoku w:val="0"/>
        <w:wordWrap/>
        <w:overflowPunct w:val="0"/>
        <w:topLinePunct w:val="0"/>
        <w:autoSpaceDE/>
        <w:autoSpaceDN/>
        <w:bidi w:val="0"/>
        <w:adjustRightInd/>
        <w:snapToGrid/>
        <w:spacing w:line="360" w:lineRule="auto"/>
        <w:ind w:firstLine="240" w:firstLineChars="100"/>
        <w:textAlignment w:val="auto"/>
        <w:rPr>
          <w:rFonts w:hint="eastAsia" w:ascii="宋体" w:hAnsi="宋体" w:eastAsia="宋体" w:cs="宋体"/>
        </w:rPr>
      </w:pPr>
      <w:r>
        <w:rPr>
          <w:rFonts w:hint="eastAsia" w:ascii="宋体" w:hAnsi="宋体" w:eastAsia="宋体" w:cs="宋体"/>
        </w:rPr>
        <w:t>（5）辅助电源额定电流：10A；</w:t>
      </w:r>
    </w:p>
    <w:p w14:paraId="55D63E41">
      <w:pPr>
        <w:pStyle w:val="2"/>
        <w:pageBreakBefore w:val="0"/>
        <w:kinsoku w:val="0"/>
        <w:wordWrap/>
        <w:overflowPunct w:val="0"/>
        <w:topLinePunct w:val="0"/>
        <w:autoSpaceDE/>
        <w:autoSpaceDN/>
        <w:bidi w:val="0"/>
        <w:adjustRightInd/>
        <w:snapToGrid/>
        <w:spacing w:line="360" w:lineRule="auto"/>
        <w:ind w:firstLine="240" w:firstLineChars="100"/>
        <w:textAlignment w:val="auto"/>
        <w:rPr>
          <w:rFonts w:hint="eastAsia" w:ascii="宋体" w:hAnsi="宋体" w:eastAsia="宋体" w:cs="宋体"/>
        </w:rPr>
      </w:pPr>
      <w:r>
        <w:rPr>
          <w:rFonts w:hint="eastAsia" w:ascii="宋体" w:hAnsi="宋体" w:eastAsia="宋体" w:cs="宋体"/>
        </w:rPr>
        <w:t xml:space="preserve">（6）纹波峰值系数：不超过±1%。 </w:t>
      </w:r>
      <w:bookmarkStart w:id="7" w:name="4、输出电压和额定功率"/>
      <w:bookmarkEnd w:id="7"/>
    </w:p>
    <w:p w14:paraId="1F61B5D5">
      <w:pPr>
        <w:pStyle w:val="8"/>
        <w:keepNext/>
        <w:keepLines/>
        <w:pageBreakBefore w:val="0"/>
        <w:widowControl w:val="0"/>
        <w:kinsoku/>
        <w:wordWrap/>
        <w:overflowPunct/>
        <w:topLinePunct w:val="0"/>
        <w:autoSpaceDE/>
        <w:autoSpaceDN/>
        <w:bidi w:val="0"/>
        <w:adjustRightInd/>
        <w:snapToGrid/>
        <w:spacing w:before="0" w:after="0" w:line="360" w:lineRule="auto"/>
        <w:ind w:right="2874"/>
        <w:textAlignment w:val="auto"/>
        <w:rPr>
          <w:rFonts w:hint="eastAsia" w:ascii="宋体" w:hAnsi="宋体" w:eastAsia="宋体" w:cs="宋体"/>
          <w:sz w:val="24"/>
        </w:rPr>
      </w:pPr>
      <w:r>
        <w:rPr>
          <w:rFonts w:hint="eastAsia" w:ascii="宋体" w:hAnsi="宋体" w:eastAsia="宋体" w:cs="宋体"/>
          <w:sz w:val="24"/>
        </w:rPr>
        <w:t xml:space="preserve">3.5 </w:t>
      </w:r>
      <w:r>
        <w:rPr>
          <w:rFonts w:hint="eastAsia" w:ascii="宋体" w:hAnsi="宋体" w:eastAsia="宋体" w:cs="宋体"/>
          <w:sz w:val="24"/>
        </w:rPr>
        <w:t>输出电压和额定功率</w:t>
      </w:r>
    </w:p>
    <w:p w14:paraId="62F26C3D">
      <w:pPr>
        <w:pStyle w:val="2"/>
        <w:pageBreakBefore w:val="0"/>
        <w:kinsoku w:val="0"/>
        <w:wordWrap/>
        <w:overflowPunct w:val="0"/>
        <w:topLinePunct w:val="0"/>
        <w:autoSpaceDE/>
        <w:autoSpaceDN/>
        <w:bidi w:val="0"/>
        <w:adjustRightInd/>
        <w:snapToGrid/>
        <w:spacing w:line="360" w:lineRule="auto"/>
        <w:ind w:firstLine="240" w:firstLineChars="100"/>
        <w:textAlignment w:val="auto"/>
        <w:rPr>
          <w:rFonts w:hint="eastAsia" w:ascii="宋体" w:hAnsi="宋体" w:eastAsia="宋体" w:cs="宋体"/>
        </w:rPr>
      </w:pPr>
      <w:r>
        <w:rPr>
          <w:rFonts w:hint="eastAsia" w:ascii="宋体" w:hAnsi="宋体" w:eastAsia="宋体" w:cs="宋体"/>
        </w:rPr>
        <w:t>（1）直流输出电压范围：DC200V～1000V；</w:t>
      </w:r>
    </w:p>
    <w:p w14:paraId="6346908D">
      <w:pPr>
        <w:pStyle w:val="2"/>
        <w:pageBreakBefore w:val="0"/>
        <w:kinsoku w:val="0"/>
        <w:wordWrap/>
        <w:overflowPunct w:val="0"/>
        <w:topLinePunct w:val="0"/>
        <w:autoSpaceDE/>
        <w:autoSpaceDN/>
        <w:bidi w:val="0"/>
        <w:adjustRightInd/>
        <w:snapToGrid/>
        <w:spacing w:line="360" w:lineRule="auto"/>
        <w:ind w:firstLine="240" w:firstLineChars="100"/>
        <w:textAlignment w:val="auto"/>
        <w:rPr>
          <w:rFonts w:hint="eastAsia" w:ascii="宋体" w:hAnsi="宋体" w:eastAsia="宋体" w:cs="宋体"/>
        </w:rPr>
      </w:pPr>
      <w:r>
        <w:rPr>
          <w:rFonts w:hint="eastAsia" w:ascii="宋体" w:hAnsi="宋体" w:eastAsia="宋体" w:cs="宋体"/>
        </w:rPr>
        <w:t>（2）模块恒功率输出电压范围：DC300V-1000V（全程无断档）；</w:t>
      </w:r>
    </w:p>
    <w:p w14:paraId="6C7BFA0C">
      <w:pPr>
        <w:pStyle w:val="2"/>
        <w:pageBreakBefore w:val="0"/>
        <w:kinsoku w:val="0"/>
        <w:wordWrap/>
        <w:overflowPunct w:val="0"/>
        <w:topLinePunct w:val="0"/>
        <w:autoSpaceDE/>
        <w:autoSpaceDN/>
        <w:bidi w:val="0"/>
        <w:adjustRightInd/>
        <w:snapToGrid/>
        <w:spacing w:line="360" w:lineRule="auto"/>
        <w:ind w:firstLine="240" w:firstLineChars="100"/>
        <w:textAlignment w:val="auto"/>
        <w:rPr>
          <w:rFonts w:hint="eastAsia" w:ascii="宋体" w:hAnsi="宋体" w:eastAsia="宋体" w:cs="宋体"/>
        </w:rPr>
      </w:pPr>
      <w:r>
        <w:rPr>
          <w:rFonts w:hint="eastAsia" w:ascii="宋体" w:hAnsi="宋体" w:eastAsia="宋体" w:cs="宋体"/>
        </w:rPr>
        <w:t>（3）单个模块功率：20kW≤单模块输出功率≤40kW</w:t>
      </w:r>
    </w:p>
    <w:p w14:paraId="16BD13E6">
      <w:pPr>
        <w:pStyle w:val="2"/>
        <w:pageBreakBefore w:val="0"/>
        <w:kinsoku w:val="0"/>
        <w:wordWrap/>
        <w:overflowPunct w:val="0"/>
        <w:topLinePunct w:val="0"/>
        <w:autoSpaceDE/>
        <w:autoSpaceDN/>
        <w:bidi w:val="0"/>
        <w:adjustRightInd/>
        <w:snapToGrid/>
        <w:spacing w:line="360" w:lineRule="auto"/>
        <w:ind w:firstLine="240" w:firstLineChars="100"/>
        <w:textAlignment w:val="auto"/>
        <w:rPr>
          <w:rFonts w:hint="eastAsia" w:ascii="宋体" w:hAnsi="宋体" w:eastAsia="宋体" w:cs="宋体"/>
        </w:rPr>
      </w:pPr>
      <w:r>
        <w:rPr>
          <w:rFonts w:hint="eastAsia" w:ascii="宋体" w:hAnsi="宋体" w:eastAsia="宋体" w:cs="宋体"/>
        </w:rPr>
        <w:t>（4）恒功率输出范围内无需投切控制;</w:t>
      </w:r>
    </w:p>
    <w:p w14:paraId="68047114">
      <w:pPr>
        <w:pStyle w:val="2"/>
        <w:pageBreakBefore w:val="0"/>
        <w:kinsoku w:val="0"/>
        <w:wordWrap/>
        <w:overflowPunct w:val="0"/>
        <w:topLinePunct w:val="0"/>
        <w:autoSpaceDE/>
        <w:autoSpaceDN/>
        <w:bidi w:val="0"/>
        <w:adjustRightInd/>
        <w:snapToGrid/>
        <w:spacing w:line="360" w:lineRule="auto"/>
        <w:ind w:firstLine="240" w:firstLineChars="100"/>
        <w:textAlignment w:val="auto"/>
        <w:rPr>
          <w:rFonts w:hint="eastAsia" w:ascii="宋体" w:hAnsi="宋体" w:eastAsia="宋体" w:cs="宋体"/>
        </w:rPr>
      </w:pPr>
      <w:r>
        <w:rPr>
          <w:rFonts w:hint="eastAsia" w:ascii="宋体" w:hAnsi="宋体" w:eastAsia="宋体" w:cs="宋体"/>
        </w:rPr>
        <w:t>（5）具备输入输出连接器在位检测功能;</w:t>
      </w:r>
    </w:p>
    <w:p w14:paraId="79233FA3">
      <w:pPr>
        <w:pStyle w:val="2"/>
        <w:pageBreakBefore w:val="0"/>
        <w:kinsoku w:val="0"/>
        <w:wordWrap/>
        <w:overflowPunct w:val="0"/>
        <w:topLinePunct w:val="0"/>
        <w:autoSpaceDE/>
        <w:autoSpaceDN/>
        <w:bidi w:val="0"/>
        <w:adjustRightInd/>
        <w:snapToGrid/>
        <w:spacing w:line="360" w:lineRule="auto"/>
        <w:ind w:firstLine="240" w:firstLineChars="100"/>
        <w:textAlignment w:val="auto"/>
        <w:rPr>
          <w:rFonts w:hint="eastAsia" w:ascii="宋体" w:hAnsi="宋体" w:eastAsia="宋体" w:cs="宋体"/>
        </w:rPr>
      </w:pPr>
      <w:r>
        <w:rPr>
          <w:rFonts w:hint="eastAsia" w:ascii="宋体" w:hAnsi="宋体" w:eastAsia="宋体" w:cs="宋体"/>
        </w:rPr>
        <w:t>（6）充电模块应内置泄放电路。</w:t>
      </w:r>
      <w:bookmarkStart w:id="8" w:name="5、充电枪线"/>
      <w:bookmarkEnd w:id="8"/>
      <w:r>
        <w:rPr>
          <w:rFonts w:hint="eastAsia" w:ascii="宋体" w:hAnsi="宋体" w:eastAsia="宋体" w:cs="宋体"/>
        </w:rPr>
        <w:t xml:space="preserve"> </w:t>
      </w:r>
    </w:p>
    <w:p w14:paraId="2B95E06B">
      <w:pPr>
        <w:pStyle w:val="8"/>
        <w:keepNext/>
        <w:keepLines/>
        <w:pageBreakBefore w:val="0"/>
        <w:widowControl w:val="0"/>
        <w:kinsoku/>
        <w:wordWrap/>
        <w:overflowPunct/>
        <w:topLinePunct w:val="0"/>
        <w:autoSpaceDE/>
        <w:autoSpaceDN/>
        <w:bidi w:val="0"/>
        <w:adjustRightInd/>
        <w:snapToGrid/>
        <w:spacing w:before="0" w:after="0" w:line="360" w:lineRule="auto"/>
        <w:ind w:right="2874"/>
        <w:textAlignment w:val="auto"/>
        <w:rPr>
          <w:rFonts w:hint="eastAsia" w:ascii="宋体" w:hAnsi="宋体" w:eastAsia="宋体" w:cs="宋体"/>
          <w:sz w:val="24"/>
        </w:rPr>
      </w:pPr>
      <w:r>
        <w:rPr>
          <w:rFonts w:hint="eastAsia" w:ascii="宋体" w:hAnsi="宋体" w:eastAsia="宋体" w:cs="宋体"/>
          <w:sz w:val="24"/>
        </w:rPr>
        <w:t>3.6 充功率动态分配</w:t>
      </w:r>
    </w:p>
    <w:p w14:paraId="4C67414A">
      <w:pPr>
        <w:pStyle w:val="2"/>
        <w:pageBreakBefore w:val="0"/>
        <w:wordWrap/>
        <w:topLinePunct w:val="0"/>
        <w:autoSpaceDE/>
        <w:autoSpaceDN/>
        <w:bidi w:val="0"/>
        <w:adjustRightInd/>
        <w:snapToGrid/>
        <w:spacing w:line="360" w:lineRule="auto"/>
        <w:ind w:firstLine="561"/>
        <w:textAlignment w:val="auto"/>
        <w:rPr>
          <w:rFonts w:hint="eastAsia" w:ascii="宋体" w:hAnsi="宋体" w:eastAsia="宋体" w:cs="宋体"/>
        </w:rPr>
      </w:pPr>
      <w:r>
        <w:rPr>
          <w:rFonts w:hint="eastAsia" w:ascii="宋体" w:hAnsi="宋体" w:eastAsia="宋体" w:cs="宋体"/>
        </w:rPr>
        <w:t>充电机具备功率动态分配功能，多枪充电时，可根据用户充电请求、电池充电需求、充电模块功率最优需求、上级监控平台调控指令，按既定的控制策略动态调整分配至每个充电枪的充电模块数量。任意模块可投切至任意一把枪，实现以单模块为颗粒度进行智能功率投切。</w:t>
      </w:r>
      <w:r>
        <w:rPr>
          <w:rFonts w:hint="eastAsia" w:ascii="宋体" w:hAnsi="宋体" w:eastAsia="宋体" w:cs="宋体"/>
        </w:rPr>
        <w:t xml:space="preserve"> </w:t>
      </w:r>
    </w:p>
    <w:p w14:paraId="0CB4D9EE">
      <w:pPr>
        <w:pStyle w:val="8"/>
        <w:keepNext/>
        <w:keepLines/>
        <w:pageBreakBefore w:val="0"/>
        <w:widowControl w:val="0"/>
        <w:kinsoku/>
        <w:wordWrap/>
        <w:overflowPunct/>
        <w:topLinePunct w:val="0"/>
        <w:autoSpaceDE/>
        <w:autoSpaceDN/>
        <w:bidi w:val="0"/>
        <w:adjustRightInd/>
        <w:snapToGrid/>
        <w:spacing w:before="0" w:after="0" w:line="360" w:lineRule="auto"/>
        <w:ind w:right="2874"/>
        <w:textAlignment w:val="auto"/>
        <w:rPr>
          <w:rFonts w:hint="eastAsia" w:ascii="宋体" w:hAnsi="宋体" w:eastAsia="宋体" w:cs="宋体"/>
          <w:sz w:val="24"/>
        </w:rPr>
      </w:pPr>
      <w:r>
        <w:rPr>
          <w:rFonts w:hint="eastAsia" w:ascii="宋体" w:hAnsi="宋体" w:eastAsia="宋体" w:cs="宋体"/>
          <w:sz w:val="24"/>
        </w:rPr>
        <w:t>3.7 充电控制及策略</w:t>
      </w:r>
    </w:p>
    <w:p w14:paraId="13A70416">
      <w:pPr>
        <w:pStyle w:val="2"/>
        <w:spacing w:line="360" w:lineRule="auto"/>
        <w:ind w:firstLine="278"/>
        <w:jc w:val="both"/>
        <w:rPr>
          <w:rFonts w:hint="eastAsia" w:ascii="宋体" w:hAnsi="宋体" w:eastAsia="宋体" w:cs="宋体"/>
        </w:rPr>
      </w:pPr>
      <w:r>
        <w:rPr>
          <w:rFonts w:hint="eastAsia" w:ascii="宋体" w:hAnsi="宋体" w:eastAsia="宋体" w:cs="宋体"/>
          <w:spacing w:val="4"/>
        </w:rPr>
        <w:t>（</w:t>
      </w:r>
      <w:r>
        <w:rPr>
          <w:rFonts w:hint="eastAsia" w:ascii="宋体" w:hAnsi="宋体" w:eastAsia="宋体" w:cs="宋体"/>
          <w:spacing w:val="4"/>
        </w:rPr>
        <w:t>1</w:t>
      </w:r>
      <w:r>
        <w:rPr>
          <w:rFonts w:hint="eastAsia" w:ascii="宋体" w:hAnsi="宋体" w:eastAsia="宋体" w:cs="宋体"/>
          <w:spacing w:val="4"/>
        </w:rPr>
        <w:t>）设备应具备</w:t>
      </w:r>
      <w:r>
        <w:rPr>
          <w:rFonts w:hint="eastAsia" w:ascii="宋体" w:hAnsi="宋体" w:eastAsia="宋体" w:cs="宋体"/>
          <w:spacing w:val="-50"/>
        </w:rPr>
        <w:t xml:space="preserve"> </w:t>
      </w:r>
      <w:r>
        <w:rPr>
          <w:rFonts w:hint="eastAsia" w:ascii="宋体" w:hAnsi="宋体" w:eastAsia="宋体" w:cs="宋体"/>
        </w:rPr>
        <w:t>VIN</w:t>
      </w:r>
      <w:r>
        <w:rPr>
          <w:rFonts w:hint="eastAsia" w:ascii="宋体" w:hAnsi="宋体" w:eastAsia="宋体" w:cs="宋体"/>
          <w:spacing w:val="-51"/>
        </w:rPr>
        <w:t xml:space="preserve"> </w:t>
      </w:r>
      <w:r>
        <w:rPr>
          <w:rFonts w:hint="eastAsia" w:ascii="宋体" w:hAnsi="宋体" w:eastAsia="宋体" w:cs="宋体"/>
          <w:spacing w:val="4"/>
        </w:rPr>
        <w:t>自动识别充电：通过插枪，自动识别车辆</w:t>
      </w:r>
      <w:r>
        <w:rPr>
          <w:rFonts w:hint="eastAsia" w:ascii="宋体" w:hAnsi="宋体" w:eastAsia="宋体" w:cs="宋体"/>
          <w:spacing w:val="-52"/>
        </w:rPr>
        <w:t xml:space="preserve"> </w:t>
      </w:r>
      <w:r>
        <w:rPr>
          <w:rFonts w:hint="eastAsia" w:ascii="宋体" w:hAnsi="宋体" w:eastAsia="宋体" w:cs="宋体"/>
        </w:rPr>
        <w:t>BMS</w:t>
      </w:r>
      <w:r>
        <w:rPr>
          <w:rFonts w:hint="eastAsia" w:ascii="宋体" w:hAnsi="宋体" w:eastAsia="宋体" w:cs="宋体"/>
          <w:spacing w:val="-51"/>
        </w:rPr>
        <w:t xml:space="preserve"> </w:t>
      </w:r>
      <w:r>
        <w:rPr>
          <w:rFonts w:hint="eastAsia" w:ascii="宋体" w:hAnsi="宋体" w:eastAsia="宋体" w:cs="宋体"/>
        </w:rPr>
        <w:t>传回</w:t>
      </w:r>
      <w:r>
        <w:rPr>
          <w:rFonts w:hint="eastAsia" w:ascii="宋体" w:hAnsi="宋体" w:eastAsia="宋体" w:cs="宋体"/>
        </w:rPr>
        <w:t xml:space="preserve"> VIN</w:t>
      </w:r>
      <w:r>
        <w:rPr>
          <w:rFonts w:hint="eastAsia" w:ascii="宋体" w:hAnsi="宋体" w:eastAsia="宋体" w:cs="宋体"/>
          <w:spacing w:val="2"/>
        </w:rPr>
        <w:t>码，自动启动充电或遵循后台设置的启动充电时间，自动启动；充电结</w:t>
      </w:r>
      <w:r>
        <w:rPr>
          <w:rFonts w:hint="eastAsia" w:ascii="宋体" w:hAnsi="宋体" w:eastAsia="宋体" w:cs="宋体"/>
          <w:spacing w:val="-130"/>
        </w:rPr>
        <w:t xml:space="preserve"> </w:t>
      </w:r>
      <w:r>
        <w:rPr>
          <w:rFonts w:hint="eastAsia" w:ascii="宋体" w:hAnsi="宋体" w:eastAsia="宋体" w:cs="宋体"/>
        </w:rPr>
        <w:t>束后，自动停止，充电未结束时，通过手机、</w:t>
      </w:r>
      <w:r>
        <w:rPr>
          <w:rFonts w:hint="eastAsia" w:ascii="宋体" w:hAnsi="宋体" w:eastAsia="宋体" w:cs="宋体"/>
        </w:rPr>
        <w:t>PAD</w:t>
      </w:r>
      <w:r>
        <w:rPr>
          <w:rFonts w:hint="eastAsia" w:ascii="宋体" w:hAnsi="宋体" w:eastAsia="宋体" w:cs="宋体"/>
        </w:rPr>
        <w:t>、</w:t>
      </w:r>
      <w:r>
        <w:rPr>
          <w:rFonts w:hint="eastAsia" w:ascii="宋体" w:hAnsi="宋体" w:eastAsia="宋体" w:cs="宋体"/>
        </w:rPr>
        <w:t xml:space="preserve">PC </w:t>
      </w:r>
      <w:r>
        <w:rPr>
          <w:rFonts w:hint="eastAsia" w:ascii="宋体" w:hAnsi="宋体" w:eastAsia="宋体" w:cs="宋体"/>
          <w:spacing w:val="2"/>
        </w:rPr>
        <w:t>等终端，可直接选择</w:t>
      </w:r>
      <w:r>
        <w:rPr>
          <w:rFonts w:hint="eastAsia" w:ascii="宋体" w:hAnsi="宋体" w:eastAsia="宋体" w:cs="宋体"/>
        </w:rPr>
        <w:t>充电枪，终止充电。</w:t>
      </w:r>
    </w:p>
    <w:p w14:paraId="58E3F5AA">
      <w:pPr>
        <w:pStyle w:val="2"/>
        <w:spacing w:line="360" w:lineRule="auto"/>
        <w:ind w:firstLine="278"/>
        <w:jc w:val="both"/>
        <w:rPr>
          <w:rFonts w:hint="eastAsia" w:ascii="宋体" w:hAnsi="宋体" w:eastAsia="宋体" w:cs="宋体"/>
        </w:rPr>
      </w:pPr>
      <w:r>
        <w:rPr>
          <w:rFonts w:hint="eastAsia" w:ascii="宋体" w:hAnsi="宋体" w:eastAsia="宋体" w:cs="宋体"/>
        </w:rPr>
        <w:t>（2）定时充电功能：可以自动或手动设置充电时间，充分利用低谷电价， 降低运营成本。</w:t>
      </w:r>
    </w:p>
    <w:p w14:paraId="676681F7">
      <w:pPr>
        <w:pStyle w:val="2"/>
        <w:spacing w:line="360" w:lineRule="auto"/>
        <w:ind w:firstLine="278"/>
        <w:jc w:val="both"/>
        <w:rPr>
          <w:rFonts w:hint="eastAsia" w:ascii="宋体" w:hAnsi="宋体" w:eastAsia="宋体" w:cs="宋体"/>
        </w:rPr>
      </w:pPr>
      <w:r>
        <w:rPr>
          <w:rFonts w:hint="eastAsia" w:ascii="宋体" w:hAnsi="宋体" w:eastAsia="宋体" w:cs="宋体"/>
        </w:rPr>
        <w:t>（3）一键启动充电功能：可以通过一键启动给通过绝缘检测通信正常的车辆启动充电。</w:t>
      </w:r>
    </w:p>
    <w:p w14:paraId="7505FC0B">
      <w:pPr>
        <w:pStyle w:val="2"/>
        <w:spacing w:line="360" w:lineRule="auto"/>
        <w:ind w:firstLine="278"/>
        <w:jc w:val="both"/>
        <w:rPr>
          <w:rFonts w:hint="eastAsia" w:ascii="宋体" w:hAnsi="宋体" w:eastAsia="宋体" w:cs="宋体"/>
        </w:rPr>
      </w:pPr>
      <w:r>
        <w:rPr>
          <w:rFonts w:hint="eastAsia" w:ascii="宋体" w:hAnsi="宋体" w:eastAsia="宋体" w:cs="宋体"/>
        </w:rPr>
        <w:t>（4）均分充电策略：充电功率单元平均分配到不同的充电枪上。指各充电 枪的负载率基本相同。充电功率单元优先分配到负载率高的充电枪上，使各充电枪负载率大体保持相同。</w:t>
      </w:r>
    </w:p>
    <w:p w14:paraId="4CD47F1C">
      <w:pPr>
        <w:pStyle w:val="2"/>
        <w:spacing w:line="360" w:lineRule="auto"/>
        <w:ind w:firstLine="278"/>
        <w:jc w:val="both"/>
        <w:rPr>
          <w:rFonts w:hint="eastAsia" w:ascii="宋体" w:hAnsi="宋体" w:eastAsia="宋体" w:cs="宋体"/>
        </w:rPr>
      </w:pPr>
      <w:r>
        <w:rPr>
          <w:rFonts w:hint="eastAsia" w:ascii="宋体" w:hAnsi="宋体" w:eastAsia="宋体" w:cs="宋体"/>
        </w:rPr>
        <w:t>（5）有主有次充电策略：当第一辆车进行充电时，充电机所有充电模块最 大限度满足第一辆车的充电需求，当第二辆车进行充电时，优先保障第一辆 车充电的同时，剩余模块自动分配给第二辆车使用， 至少保证后来车辆至少有一个模块使用。此策略适合白天快补充电。</w:t>
      </w:r>
    </w:p>
    <w:p w14:paraId="614AB74B">
      <w:pPr>
        <w:pStyle w:val="2"/>
        <w:spacing w:line="360" w:lineRule="auto"/>
        <w:ind w:firstLine="278"/>
        <w:jc w:val="both"/>
        <w:rPr>
          <w:rFonts w:hint="eastAsia" w:ascii="宋体" w:hAnsi="宋体" w:eastAsia="宋体" w:cs="宋体"/>
        </w:rPr>
      </w:pPr>
      <w:r>
        <w:rPr>
          <w:rFonts w:hint="eastAsia" w:ascii="宋体" w:hAnsi="宋体" w:eastAsia="宋体" w:cs="宋体"/>
        </w:rPr>
        <w:t>（6）至少分配一个模块单元充电策略：当有车辆接入充电时，至少保证所有接入的车辆至少有一个充电模块为其充电，多余模块按顺序分配或按发车 需求分配。</w:t>
      </w:r>
    </w:p>
    <w:p w14:paraId="336F81D0">
      <w:pPr>
        <w:pStyle w:val="2"/>
        <w:spacing w:line="360" w:lineRule="auto"/>
        <w:ind w:firstLine="278"/>
        <w:jc w:val="both"/>
        <w:rPr>
          <w:rFonts w:hint="eastAsia" w:ascii="宋体" w:hAnsi="宋体" w:eastAsia="宋体" w:cs="宋体"/>
        </w:rPr>
      </w:pPr>
      <w:r>
        <w:rPr>
          <w:rFonts w:hint="eastAsia" w:ascii="宋体" w:hAnsi="宋体" w:eastAsia="宋体" w:cs="宋体"/>
        </w:rPr>
        <w:t>（7）SOC智能充电功能:充电机应具备设置 SOC阈值的功能，充电至值时，自动停止充电。</w:t>
      </w:r>
    </w:p>
    <w:p w14:paraId="0B468C1B">
      <w:pPr>
        <w:pStyle w:val="2"/>
        <w:spacing w:line="360" w:lineRule="auto"/>
        <w:ind w:firstLine="278"/>
        <w:jc w:val="both"/>
        <w:rPr>
          <w:rFonts w:hint="eastAsia" w:ascii="宋体" w:hAnsi="宋体" w:eastAsia="宋体" w:cs="宋体"/>
        </w:rPr>
      </w:pPr>
      <w:r>
        <w:rPr>
          <w:rFonts w:hint="eastAsia" w:ascii="宋体" w:hAnsi="宋体" w:eastAsia="宋体" w:cs="宋体"/>
        </w:rPr>
        <w:t>(8)扫码充电功能:充电机应具备通过手机APP、微信小程序或支付宝小程序扫码启动充电的功能。</w:t>
      </w:r>
    </w:p>
    <w:p w14:paraId="079E4DF8">
      <w:pPr>
        <w:pStyle w:val="8"/>
        <w:keepNext/>
        <w:keepLines/>
        <w:pageBreakBefore w:val="0"/>
        <w:widowControl w:val="0"/>
        <w:kinsoku/>
        <w:wordWrap/>
        <w:overflowPunct/>
        <w:topLinePunct w:val="0"/>
        <w:autoSpaceDE/>
        <w:autoSpaceDN/>
        <w:bidi w:val="0"/>
        <w:adjustRightInd/>
        <w:snapToGrid/>
        <w:spacing w:before="0" w:after="0" w:line="360" w:lineRule="auto"/>
        <w:ind w:right="2874"/>
        <w:textAlignment w:val="auto"/>
        <w:rPr>
          <w:rFonts w:hint="eastAsia" w:ascii="宋体" w:hAnsi="宋体" w:eastAsia="宋体" w:cs="宋体"/>
          <w:sz w:val="24"/>
        </w:rPr>
      </w:pPr>
      <w:r>
        <w:rPr>
          <w:rFonts w:hint="eastAsia" w:ascii="宋体" w:hAnsi="宋体" w:eastAsia="宋体" w:cs="宋体"/>
          <w:sz w:val="24"/>
        </w:rPr>
        <w:t>3.8 充电模式和连接方式</w:t>
      </w:r>
    </w:p>
    <w:p w14:paraId="04C273F7">
      <w:pPr>
        <w:pStyle w:val="2"/>
        <w:spacing w:line="360" w:lineRule="auto"/>
        <w:ind w:firstLine="561"/>
        <w:jc w:val="both"/>
        <w:rPr>
          <w:rFonts w:hint="eastAsia" w:ascii="宋体" w:hAnsi="宋体" w:eastAsia="宋体" w:cs="宋体"/>
          <w:sz w:val="28"/>
          <w:szCs w:val="28"/>
        </w:rPr>
      </w:pPr>
      <w:r>
        <w:rPr>
          <w:rFonts w:hint="eastAsia" w:ascii="宋体" w:hAnsi="宋体" w:eastAsia="宋体" w:cs="宋体"/>
        </w:rPr>
        <w:t>充电机应采用</w:t>
      </w:r>
      <w:r>
        <w:rPr>
          <w:rFonts w:hint="eastAsia" w:ascii="宋体" w:hAnsi="宋体" w:eastAsia="宋体" w:cs="宋体"/>
          <w:spacing w:val="-88"/>
        </w:rPr>
        <w:t xml:space="preserve"> </w:t>
      </w:r>
      <w:r>
        <w:rPr>
          <w:rFonts w:hint="eastAsia" w:ascii="宋体" w:hAnsi="宋体" w:eastAsia="宋体" w:cs="宋体"/>
        </w:rPr>
        <w:t>GB/T18487.1-2015</w:t>
      </w:r>
      <w:r>
        <w:rPr>
          <w:rFonts w:hint="eastAsia" w:ascii="宋体" w:hAnsi="宋体" w:eastAsia="宋体" w:cs="宋体"/>
          <w:spacing w:val="-87"/>
        </w:rPr>
        <w:t xml:space="preserve"> </w:t>
      </w:r>
      <w:r>
        <w:rPr>
          <w:rFonts w:hint="eastAsia" w:ascii="宋体" w:hAnsi="宋体" w:eastAsia="宋体" w:cs="宋体"/>
        </w:rPr>
        <w:t>附录</w:t>
      </w:r>
      <w:r>
        <w:rPr>
          <w:rFonts w:hint="eastAsia" w:ascii="宋体" w:hAnsi="宋体" w:eastAsia="宋体" w:cs="宋体"/>
          <w:spacing w:val="-86"/>
        </w:rPr>
        <w:t xml:space="preserve"> </w:t>
      </w:r>
      <w:r>
        <w:rPr>
          <w:rFonts w:hint="eastAsia" w:ascii="宋体" w:hAnsi="宋体" w:eastAsia="宋体" w:cs="宋体"/>
        </w:rPr>
        <w:t>B</w:t>
      </w:r>
      <w:r>
        <w:rPr>
          <w:rFonts w:hint="eastAsia" w:ascii="宋体" w:hAnsi="宋体" w:eastAsia="宋体" w:cs="宋体"/>
          <w:spacing w:val="-90"/>
        </w:rPr>
        <w:t xml:space="preserve"> </w:t>
      </w:r>
      <w:r>
        <w:rPr>
          <w:rFonts w:hint="eastAsia" w:ascii="宋体" w:hAnsi="宋体" w:eastAsia="宋体" w:cs="宋体"/>
        </w:rPr>
        <w:t>中规定的充电模式</w:t>
      </w:r>
      <w:r>
        <w:rPr>
          <w:rFonts w:hint="eastAsia" w:ascii="宋体" w:hAnsi="宋体" w:eastAsia="宋体" w:cs="宋体"/>
          <w:spacing w:val="-88"/>
        </w:rPr>
        <w:t xml:space="preserve"> </w:t>
      </w:r>
      <w:r>
        <w:rPr>
          <w:rFonts w:hint="eastAsia" w:ascii="宋体" w:hAnsi="宋体" w:eastAsia="宋体" w:cs="宋体"/>
        </w:rPr>
        <w:t>4</w:t>
      </w:r>
      <w:r>
        <w:rPr>
          <w:rFonts w:hint="eastAsia" w:ascii="宋体" w:hAnsi="宋体" w:eastAsia="宋体" w:cs="宋体"/>
          <w:spacing w:val="-87"/>
        </w:rPr>
        <w:t xml:space="preserve"> </w:t>
      </w:r>
      <w:r>
        <w:rPr>
          <w:rFonts w:hint="eastAsia" w:ascii="宋体" w:hAnsi="宋体" w:eastAsia="宋体" w:cs="宋体"/>
        </w:rPr>
        <w:t>和连接方式</w:t>
      </w:r>
      <w:r>
        <w:rPr>
          <w:rFonts w:hint="eastAsia" w:ascii="宋体" w:hAnsi="宋体" w:eastAsia="宋体" w:cs="宋体"/>
        </w:rPr>
        <w:t xml:space="preserve"> C</w:t>
      </w:r>
      <w:r>
        <w:rPr>
          <w:rFonts w:hint="eastAsia" w:ascii="宋体" w:hAnsi="宋体" w:eastAsia="宋体" w:cs="宋体"/>
          <w:spacing w:val="-18"/>
        </w:rPr>
        <w:t xml:space="preserve"> </w:t>
      </w:r>
      <w:r>
        <w:rPr>
          <w:rFonts w:hint="eastAsia" w:ascii="宋体" w:hAnsi="宋体" w:eastAsia="宋体" w:cs="宋体"/>
        </w:rPr>
        <w:t>对</w:t>
      </w:r>
      <w:r>
        <w:rPr>
          <w:rFonts w:hint="eastAsia" w:ascii="宋体" w:hAnsi="宋体" w:eastAsia="宋体" w:cs="宋体"/>
          <w:spacing w:val="-88"/>
        </w:rPr>
        <w:t xml:space="preserve"> </w:t>
      </w:r>
      <w:r>
        <w:rPr>
          <w:rFonts w:hint="eastAsia" w:ascii="宋体" w:hAnsi="宋体" w:eastAsia="宋体" w:cs="宋体"/>
        </w:rPr>
        <w:t>电</w:t>
      </w:r>
      <w:r>
        <w:rPr>
          <w:rFonts w:hint="eastAsia" w:ascii="宋体" w:hAnsi="宋体" w:eastAsia="宋体" w:cs="宋体"/>
          <w:spacing w:val="-90"/>
        </w:rPr>
        <w:t xml:space="preserve"> </w:t>
      </w:r>
      <w:r>
        <w:rPr>
          <w:rFonts w:hint="eastAsia" w:ascii="宋体" w:hAnsi="宋体" w:eastAsia="宋体" w:cs="宋体"/>
        </w:rPr>
        <w:t>动</w:t>
      </w:r>
      <w:r>
        <w:rPr>
          <w:rFonts w:hint="eastAsia" w:ascii="宋体" w:hAnsi="宋体" w:eastAsia="宋体" w:cs="宋体"/>
          <w:spacing w:val="-88"/>
        </w:rPr>
        <w:t xml:space="preserve"> </w:t>
      </w:r>
      <w:r>
        <w:rPr>
          <w:rFonts w:hint="eastAsia" w:ascii="宋体" w:hAnsi="宋体" w:eastAsia="宋体" w:cs="宋体"/>
        </w:rPr>
        <w:t>汽</w:t>
      </w:r>
      <w:r>
        <w:rPr>
          <w:rFonts w:hint="eastAsia" w:ascii="宋体" w:hAnsi="宋体" w:eastAsia="宋体" w:cs="宋体"/>
          <w:spacing w:val="-88"/>
        </w:rPr>
        <w:t xml:space="preserve"> </w:t>
      </w:r>
      <w:r>
        <w:rPr>
          <w:rFonts w:hint="eastAsia" w:ascii="宋体" w:hAnsi="宋体" w:eastAsia="宋体" w:cs="宋体"/>
        </w:rPr>
        <w:t>车</w:t>
      </w:r>
      <w:r>
        <w:rPr>
          <w:rFonts w:hint="eastAsia" w:ascii="宋体" w:hAnsi="宋体" w:eastAsia="宋体" w:cs="宋体"/>
          <w:spacing w:val="-90"/>
        </w:rPr>
        <w:t xml:space="preserve"> </w:t>
      </w:r>
      <w:r>
        <w:rPr>
          <w:rFonts w:hint="eastAsia" w:ascii="宋体" w:hAnsi="宋体" w:eastAsia="宋体" w:cs="宋体"/>
        </w:rPr>
        <w:t>进</w:t>
      </w:r>
      <w:r>
        <w:rPr>
          <w:rFonts w:hint="eastAsia" w:ascii="宋体" w:hAnsi="宋体" w:eastAsia="宋体" w:cs="宋体"/>
          <w:spacing w:val="-88"/>
        </w:rPr>
        <w:t xml:space="preserve"> </w:t>
      </w:r>
      <w:r>
        <w:rPr>
          <w:rFonts w:hint="eastAsia" w:ascii="宋体" w:hAnsi="宋体" w:eastAsia="宋体" w:cs="宋体"/>
        </w:rPr>
        <w:t>行</w:t>
      </w:r>
      <w:r>
        <w:rPr>
          <w:rFonts w:hint="eastAsia" w:ascii="宋体" w:hAnsi="宋体" w:eastAsia="宋体" w:cs="宋体"/>
          <w:spacing w:val="-88"/>
        </w:rPr>
        <w:t xml:space="preserve"> </w:t>
      </w:r>
      <w:r>
        <w:rPr>
          <w:rFonts w:hint="eastAsia" w:ascii="宋体" w:hAnsi="宋体" w:eastAsia="宋体" w:cs="宋体"/>
        </w:rPr>
        <w:t>充</w:t>
      </w:r>
      <w:r>
        <w:rPr>
          <w:rFonts w:hint="eastAsia" w:ascii="宋体" w:hAnsi="宋体" w:eastAsia="宋体" w:cs="宋体"/>
          <w:spacing w:val="-90"/>
        </w:rPr>
        <w:t xml:space="preserve"> </w:t>
      </w:r>
      <w:r>
        <w:rPr>
          <w:rFonts w:hint="eastAsia" w:ascii="宋体" w:hAnsi="宋体" w:eastAsia="宋体" w:cs="宋体"/>
        </w:rPr>
        <w:t>电</w:t>
      </w:r>
      <w:r>
        <w:rPr>
          <w:rFonts w:hint="eastAsia" w:ascii="宋体" w:hAnsi="宋体" w:eastAsia="宋体" w:cs="宋体"/>
          <w:spacing w:val="-88"/>
        </w:rPr>
        <w:t xml:space="preserve"> </w:t>
      </w:r>
      <w:r>
        <w:rPr>
          <w:rFonts w:hint="eastAsia" w:ascii="宋体" w:hAnsi="宋体" w:eastAsia="宋体" w:cs="宋体"/>
        </w:rPr>
        <w:t>。</w:t>
      </w:r>
      <w:r>
        <w:rPr>
          <w:rFonts w:hint="eastAsia" w:ascii="宋体" w:hAnsi="宋体" w:eastAsia="宋体" w:cs="宋体"/>
          <w:spacing w:val="-88"/>
        </w:rPr>
        <w:t xml:space="preserve"> </w:t>
      </w:r>
      <w:r>
        <w:rPr>
          <w:rFonts w:hint="eastAsia" w:ascii="宋体" w:hAnsi="宋体" w:eastAsia="宋体" w:cs="宋体"/>
        </w:rPr>
        <w:t>充</w:t>
      </w:r>
      <w:r>
        <w:rPr>
          <w:rFonts w:hint="eastAsia" w:ascii="宋体" w:hAnsi="宋体" w:eastAsia="宋体" w:cs="宋体"/>
          <w:spacing w:val="-90"/>
        </w:rPr>
        <w:t xml:space="preserve"> </w:t>
      </w:r>
      <w:r>
        <w:rPr>
          <w:rFonts w:hint="eastAsia" w:ascii="宋体" w:hAnsi="宋体" w:eastAsia="宋体" w:cs="宋体"/>
        </w:rPr>
        <w:t>电</w:t>
      </w:r>
      <w:r>
        <w:rPr>
          <w:rFonts w:hint="eastAsia" w:ascii="宋体" w:hAnsi="宋体" w:eastAsia="宋体" w:cs="宋体"/>
          <w:spacing w:val="-88"/>
        </w:rPr>
        <w:t xml:space="preserve"> </w:t>
      </w:r>
      <w:r>
        <w:rPr>
          <w:rFonts w:hint="eastAsia" w:ascii="宋体" w:hAnsi="宋体" w:eastAsia="宋体" w:cs="宋体"/>
        </w:rPr>
        <w:t>连</w:t>
      </w:r>
      <w:r>
        <w:rPr>
          <w:rFonts w:hint="eastAsia" w:ascii="宋体" w:hAnsi="宋体" w:eastAsia="宋体" w:cs="宋体"/>
          <w:spacing w:val="-90"/>
        </w:rPr>
        <w:t xml:space="preserve"> </w:t>
      </w:r>
      <w:r>
        <w:rPr>
          <w:rFonts w:hint="eastAsia" w:ascii="宋体" w:hAnsi="宋体" w:eastAsia="宋体" w:cs="宋体"/>
        </w:rPr>
        <w:t>接</w:t>
      </w:r>
      <w:r>
        <w:rPr>
          <w:rFonts w:hint="eastAsia" w:ascii="宋体" w:hAnsi="宋体" w:eastAsia="宋体" w:cs="宋体"/>
          <w:spacing w:val="-88"/>
        </w:rPr>
        <w:t xml:space="preserve"> </w:t>
      </w:r>
      <w:r>
        <w:rPr>
          <w:rFonts w:hint="eastAsia" w:ascii="宋体" w:hAnsi="宋体" w:eastAsia="宋体" w:cs="宋体"/>
        </w:rPr>
        <w:t>装</w:t>
      </w:r>
      <w:r>
        <w:rPr>
          <w:rFonts w:hint="eastAsia" w:ascii="宋体" w:hAnsi="宋体" w:eastAsia="宋体" w:cs="宋体"/>
          <w:spacing w:val="-88"/>
        </w:rPr>
        <w:t xml:space="preserve"> </w:t>
      </w:r>
      <w:r>
        <w:rPr>
          <w:rFonts w:hint="eastAsia" w:ascii="宋体" w:hAnsi="宋体" w:eastAsia="宋体" w:cs="宋体"/>
        </w:rPr>
        <w:t>置</w:t>
      </w:r>
      <w:r>
        <w:rPr>
          <w:rFonts w:hint="eastAsia" w:ascii="宋体" w:hAnsi="宋体" w:eastAsia="宋体" w:cs="宋体"/>
          <w:spacing w:val="-90"/>
        </w:rPr>
        <w:t xml:space="preserve"> </w:t>
      </w:r>
      <w:r>
        <w:rPr>
          <w:rFonts w:hint="eastAsia" w:ascii="宋体" w:hAnsi="宋体" w:eastAsia="宋体" w:cs="宋体"/>
        </w:rPr>
        <w:t>应</w:t>
      </w:r>
      <w:r>
        <w:rPr>
          <w:rFonts w:hint="eastAsia" w:ascii="宋体" w:hAnsi="宋体" w:eastAsia="宋体" w:cs="宋体"/>
          <w:spacing w:val="-88"/>
        </w:rPr>
        <w:t xml:space="preserve"> </w:t>
      </w:r>
      <w:r>
        <w:rPr>
          <w:rFonts w:hint="eastAsia" w:ascii="宋体" w:hAnsi="宋体" w:eastAsia="宋体" w:cs="宋体"/>
        </w:rPr>
        <w:t>满</w:t>
      </w:r>
      <w:r>
        <w:rPr>
          <w:rFonts w:hint="eastAsia" w:ascii="宋体" w:hAnsi="宋体" w:eastAsia="宋体" w:cs="宋体"/>
          <w:spacing w:val="-88"/>
        </w:rPr>
        <w:t xml:space="preserve"> </w:t>
      </w:r>
      <w:r>
        <w:rPr>
          <w:rFonts w:hint="eastAsia" w:ascii="宋体" w:hAnsi="宋体" w:eastAsia="宋体" w:cs="宋体"/>
        </w:rPr>
        <w:t>足</w:t>
      </w:r>
      <w:r>
        <w:rPr>
          <w:rFonts w:hint="eastAsia" w:ascii="宋体" w:hAnsi="宋体" w:eastAsia="宋体" w:cs="宋体"/>
          <w:spacing w:val="-17"/>
        </w:rPr>
        <w:t xml:space="preserve"> </w:t>
      </w:r>
      <w:r>
        <w:rPr>
          <w:rFonts w:hint="eastAsia" w:ascii="宋体" w:hAnsi="宋体" w:eastAsia="宋体" w:cs="宋体"/>
        </w:rPr>
        <w:t>GB/T20234.1-2015</w:t>
      </w:r>
      <w:r>
        <w:rPr>
          <w:rFonts w:hint="eastAsia" w:ascii="宋体" w:hAnsi="宋体" w:eastAsia="宋体" w:cs="宋体"/>
          <w:spacing w:val="-18"/>
        </w:rPr>
        <w:t xml:space="preserve"> </w:t>
      </w:r>
      <w:r>
        <w:rPr>
          <w:rFonts w:hint="eastAsia" w:ascii="宋体" w:hAnsi="宋体" w:eastAsia="宋体" w:cs="宋体"/>
        </w:rPr>
        <w:t>和</w:t>
      </w:r>
      <w:r>
        <w:rPr>
          <w:rFonts w:hint="eastAsia" w:ascii="宋体" w:hAnsi="宋体" w:eastAsia="宋体" w:cs="宋体"/>
        </w:rPr>
        <w:t xml:space="preserve"> GB/T20234.3-2015</w:t>
      </w:r>
      <w:r>
        <w:rPr>
          <w:rFonts w:hint="eastAsia" w:ascii="宋体" w:hAnsi="宋体" w:eastAsia="宋体" w:cs="宋体"/>
          <w:spacing w:val="-78"/>
        </w:rPr>
        <w:t xml:space="preserve"> </w:t>
      </w:r>
      <w:r>
        <w:rPr>
          <w:rFonts w:hint="eastAsia" w:ascii="宋体" w:hAnsi="宋体" w:eastAsia="宋体" w:cs="宋体"/>
        </w:rPr>
        <w:t>的规定。</w:t>
      </w:r>
    </w:p>
    <w:p w14:paraId="2947F4BB">
      <w:pPr>
        <w:pStyle w:val="8"/>
        <w:keepNext/>
        <w:keepLines/>
        <w:pageBreakBefore w:val="0"/>
        <w:widowControl w:val="0"/>
        <w:kinsoku/>
        <w:wordWrap/>
        <w:overflowPunct/>
        <w:topLinePunct w:val="0"/>
        <w:autoSpaceDE/>
        <w:autoSpaceDN/>
        <w:bidi w:val="0"/>
        <w:adjustRightInd/>
        <w:snapToGrid/>
        <w:spacing w:before="0" w:after="0" w:line="360" w:lineRule="auto"/>
        <w:ind w:right="2874"/>
        <w:textAlignment w:val="auto"/>
        <w:rPr>
          <w:rFonts w:hint="eastAsia" w:ascii="宋体" w:hAnsi="宋体" w:eastAsia="宋体" w:cs="宋体"/>
          <w:sz w:val="24"/>
        </w:rPr>
      </w:pPr>
      <w:r>
        <w:rPr>
          <w:rFonts w:hint="eastAsia" w:ascii="宋体" w:hAnsi="宋体" w:eastAsia="宋体" w:cs="宋体"/>
          <w:sz w:val="24"/>
        </w:rPr>
        <w:t>3.9 计量功能</w:t>
      </w:r>
    </w:p>
    <w:p w14:paraId="56FA9742">
      <w:pPr>
        <w:pStyle w:val="2"/>
        <w:spacing w:line="360" w:lineRule="auto"/>
        <w:ind w:firstLine="460" w:firstLineChars="200"/>
        <w:rPr>
          <w:rFonts w:hint="eastAsia" w:ascii="宋体" w:hAnsi="宋体" w:eastAsia="宋体" w:cs="宋体"/>
          <w:spacing w:val="-5"/>
        </w:rPr>
      </w:pPr>
      <w:r>
        <w:rPr>
          <w:rFonts w:hint="eastAsia" w:ascii="宋体" w:hAnsi="宋体" w:eastAsia="宋体" w:cs="宋体"/>
          <w:spacing w:val="-5"/>
        </w:rPr>
        <w:t>公用型充电机应具有对充电机充电电能量进行计量的功能，电能计量装置应符合</w:t>
      </w:r>
      <w:r>
        <w:rPr>
          <w:rFonts w:hint="eastAsia" w:ascii="宋体" w:hAnsi="宋体" w:eastAsia="宋体" w:cs="宋体"/>
          <w:spacing w:val="-5"/>
        </w:rPr>
        <w:t>GBIT 29318-2012</w:t>
      </w:r>
      <w:r>
        <w:rPr>
          <w:rFonts w:hint="eastAsia" w:ascii="宋体" w:hAnsi="宋体" w:eastAsia="宋体" w:cs="宋体"/>
          <w:spacing w:val="-5"/>
        </w:rPr>
        <w:t>的规定以及其他相应国家计量器具检定相关要求</w:t>
      </w:r>
      <w:r>
        <w:rPr>
          <w:rFonts w:hint="eastAsia" w:ascii="宋体" w:hAnsi="宋体" w:eastAsia="宋体" w:cs="宋体"/>
          <w:spacing w:val="-5"/>
        </w:rPr>
        <w:t>,</w:t>
      </w:r>
      <w:r>
        <w:rPr>
          <w:rFonts w:hint="eastAsia" w:ascii="宋体" w:hAnsi="宋体" w:eastAsia="宋体" w:cs="宋体"/>
          <w:spacing w:val="-5"/>
        </w:rPr>
        <w:t>准确度等级</w:t>
      </w:r>
      <w:r>
        <w:rPr>
          <w:rFonts w:hint="eastAsia" w:ascii="宋体" w:hAnsi="宋体" w:eastAsia="宋体" w:cs="宋体"/>
          <w:spacing w:val="-5"/>
        </w:rPr>
        <w:t>1.0</w:t>
      </w:r>
      <w:r>
        <w:rPr>
          <w:rFonts w:hint="eastAsia" w:ascii="宋体" w:hAnsi="宋体" w:eastAsia="宋体" w:cs="宋体"/>
          <w:spacing w:val="-5"/>
        </w:rPr>
        <w:t>级采用直流侧计量，计量电表应位于充电桩内，具有对每个充电接口输出电能进行计量的功能，准确显示每条充电终枪的电量值。同时应具备向平台提供分时计量数据的能力。能够测量电压、电流和功率，具有校时、多时段计量的功能，应提供具有国家计量许可认证和检验报告。电能计量装置具备</w:t>
      </w:r>
      <w:r>
        <w:rPr>
          <w:rFonts w:hint="eastAsia" w:ascii="宋体" w:hAnsi="宋体" w:eastAsia="宋体" w:cs="宋体"/>
          <w:spacing w:val="-5"/>
        </w:rPr>
        <w:t>1</w:t>
      </w:r>
      <w:r>
        <w:rPr>
          <w:rFonts w:hint="eastAsia" w:ascii="宋体" w:hAnsi="宋体" w:eastAsia="宋体" w:cs="宋体"/>
          <w:spacing w:val="-5"/>
        </w:rPr>
        <w:t>个</w:t>
      </w:r>
      <w:r>
        <w:rPr>
          <w:rFonts w:hint="eastAsia" w:ascii="宋体" w:hAnsi="宋体" w:eastAsia="宋体" w:cs="宋体"/>
          <w:spacing w:val="-5"/>
        </w:rPr>
        <w:t xml:space="preserve">RS485 </w:t>
      </w:r>
      <w:r>
        <w:rPr>
          <w:rFonts w:hint="eastAsia" w:ascii="宋体" w:hAnsi="宋体" w:eastAsia="宋体" w:cs="宋体"/>
          <w:spacing w:val="-5"/>
        </w:rPr>
        <w:t>接口，通信协议遵循《</w:t>
      </w:r>
      <w:r>
        <w:rPr>
          <w:rFonts w:hint="eastAsia" w:ascii="宋体" w:hAnsi="宋体" w:eastAsia="宋体" w:cs="宋体"/>
          <w:spacing w:val="-5"/>
        </w:rPr>
        <w:t>DLIT 645-2007</w:t>
      </w:r>
      <w:r>
        <w:rPr>
          <w:rFonts w:hint="eastAsia" w:ascii="宋体" w:hAnsi="宋体" w:eastAsia="宋体" w:cs="宋体"/>
          <w:spacing w:val="-5"/>
        </w:rPr>
        <w:t>多功能电能表通信协议》技术要求。</w:t>
      </w:r>
    </w:p>
    <w:p w14:paraId="1FAD8CEB">
      <w:pPr>
        <w:pStyle w:val="8"/>
        <w:keepNext/>
        <w:keepLines/>
        <w:pageBreakBefore w:val="0"/>
        <w:widowControl w:val="0"/>
        <w:kinsoku/>
        <w:wordWrap/>
        <w:overflowPunct/>
        <w:topLinePunct w:val="0"/>
        <w:autoSpaceDE/>
        <w:autoSpaceDN/>
        <w:bidi w:val="0"/>
        <w:adjustRightInd/>
        <w:snapToGrid/>
        <w:spacing w:before="0" w:after="0" w:line="360" w:lineRule="auto"/>
        <w:ind w:right="2874"/>
        <w:textAlignment w:val="auto"/>
        <w:rPr>
          <w:rFonts w:hint="eastAsia" w:ascii="宋体" w:hAnsi="宋体" w:eastAsia="宋体" w:cs="宋体"/>
          <w:sz w:val="24"/>
        </w:rPr>
      </w:pPr>
      <w:r>
        <w:rPr>
          <w:rFonts w:hint="eastAsia" w:ascii="宋体" w:hAnsi="宋体" w:eastAsia="宋体" w:cs="宋体"/>
          <w:sz w:val="24"/>
        </w:rPr>
        <w:t>3.10 模块</w:t>
      </w:r>
    </w:p>
    <w:p w14:paraId="08C600C0">
      <w:pPr>
        <w:pStyle w:val="2"/>
        <w:spacing w:line="360" w:lineRule="auto"/>
        <w:ind w:firstLine="561"/>
        <w:rPr>
          <w:rFonts w:hint="eastAsia" w:ascii="宋体" w:hAnsi="宋体" w:eastAsia="宋体" w:cs="宋体"/>
        </w:rPr>
      </w:pPr>
      <w:r>
        <w:rPr>
          <w:rFonts w:hint="eastAsia" w:ascii="宋体" w:hAnsi="宋体" w:eastAsia="宋体" w:cs="宋体"/>
        </w:rPr>
        <w:t>要求采用</w:t>
      </w:r>
      <w:r>
        <w:rPr>
          <w:rFonts w:hint="eastAsia" w:ascii="宋体" w:hAnsi="宋体" w:eastAsia="宋体" w:cs="宋体"/>
          <w:spacing w:val="-68"/>
        </w:rPr>
        <w:t xml:space="preserve"> </w:t>
      </w:r>
      <w:r>
        <w:rPr>
          <w:rFonts w:hint="eastAsia" w:ascii="宋体" w:hAnsi="宋体" w:eastAsia="宋体" w:cs="宋体"/>
        </w:rPr>
        <w:t>1000V</w:t>
      </w:r>
      <w:r>
        <w:rPr>
          <w:rFonts w:hint="eastAsia" w:ascii="宋体" w:hAnsi="宋体" w:eastAsia="宋体" w:cs="宋体"/>
          <w:spacing w:val="-67"/>
        </w:rPr>
        <w:t xml:space="preserve"> </w:t>
      </w:r>
      <w:r>
        <w:rPr>
          <w:rFonts w:hint="eastAsia" w:ascii="宋体" w:hAnsi="宋体" w:eastAsia="宋体" w:cs="宋体"/>
          <w:spacing w:val="-8"/>
        </w:rPr>
        <w:t>模块，并且整台桩电器物料都是按</w:t>
      </w:r>
      <w:r>
        <w:rPr>
          <w:rFonts w:hint="eastAsia" w:ascii="宋体" w:hAnsi="宋体" w:eastAsia="宋体" w:cs="宋体"/>
          <w:spacing w:val="-65"/>
        </w:rPr>
        <w:t xml:space="preserve"> </w:t>
      </w:r>
      <w:r>
        <w:rPr>
          <w:rFonts w:hint="eastAsia" w:ascii="宋体" w:hAnsi="宋体" w:eastAsia="宋体" w:cs="宋体"/>
        </w:rPr>
        <w:t>1000V</w:t>
      </w:r>
      <w:r>
        <w:rPr>
          <w:rFonts w:hint="eastAsia" w:ascii="宋体" w:hAnsi="宋体" w:eastAsia="宋体" w:cs="宋体"/>
          <w:spacing w:val="-67"/>
        </w:rPr>
        <w:t xml:space="preserve"> </w:t>
      </w:r>
      <w:r>
        <w:rPr>
          <w:rFonts w:hint="eastAsia" w:ascii="宋体" w:hAnsi="宋体" w:eastAsia="宋体" w:cs="宋体"/>
        </w:rPr>
        <w:t>物料进行选型，主板电压采集电路，电表，枪线耐压，熔断器，分流器直流接触器都是支持</w:t>
      </w:r>
      <w:r>
        <w:rPr>
          <w:rFonts w:hint="eastAsia" w:ascii="宋体" w:hAnsi="宋体" w:eastAsia="宋体" w:cs="宋体"/>
        </w:rPr>
        <w:t xml:space="preserve"> 1000V</w:t>
      </w:r>
      <w:r>
        <w:rPr>
          <w:rFonts w:hint="eastAsia" w:ascii="宋体" w:hAnsi="宋体" w:eastAsia="宋体" w:cs="宋体"/>
          <w:spacing w:val="-73"/>
        </w:rPr>
        <w:t xml:space="preserve"> </w:t>
      </w:r>
      <w:r>
        <w:rPr>
          <w:rFonts w:hint="eastAsia" w:ascii="宋体" w:hAnsi="宋体" w:eastAsia="宋体" w:cs="宋体"/>
        </w:rPr>
        <w:t>电压。</w:t>
      </w:r>
    </w:p>
    <w:p w14:paraId="58452453">
      <w:pPr>
        <w:pStyle w:val="8"/>
        <w:keepNext/>
        <w:keepLines/>
        <w:pageBreakBefore w:val="0"/>
        <w:widowControl w:val="0"/>
        <w:kinsoku/>
        <w:wordWrap/>
        <w:overflowPunct/>
        <w:topLinePunct w:val="0"/>
        <w:autoSpaceDE/>
        <w:autoSpaceDN/>
        <w:bidi w:val="0"/>
        <w:adjustRightInd/>
        <w:snapToGrid/>
        <w:spacing w:before="0" w:after="0" w:line="360" w:lineRule="auto"/>
        <w:ind w:right="2874"/>
        <w:textAlignment w:val="auto"/>
        <w:rPr>
          <w:rFonts w:hint="eastAsia" w:ascii="宋体" w:hAnsi="宋体" w:eastAsia="宋体" w:cs="宋体"/>
          <w:sz w:val="24"/>
        </w:rPr>
      </w:pPr>
      <w:r>
        <w:rPr>
          <w:rFonts w:hint="eastAsia" w:ascii="宋体" w:hAnsi="宋体" w:eastAsia="宋体" w:cs="宋体"/>
          <w:sz w:val="24"/>
        </w:rPr>
        <w:t>3.11 安全功能及要求</w:t>
      </w:r>
    </w:p>
    <w:p w14:paraId="40F16273">
      <w:pPr>
        <w:keepNext w:val="0"/>
        <w:keepLines w:val="0"/>
        <w:pageBreakBefore w:val="0"/>
        <w:widowControl w:val="0"/>
        <w:kinsoku/>
        <w:wordWrap/>
        <w:overflowPunct/>
        <w:topLinePunct w:val="0"/>
        <w:autoSpaceDE/>
        <w:autoSpaceDN/>
        <w:bidi w:val="0"/>
        <w:adjustRightInd/>
        <w:snapToGrid/>
        <w:spacing w:line="274" w:lineRule="auto"/>
        <w:ind w:left="669" w:right="102" w:hanging="283"/>
        <w:textAlignment w:val="auto"/>
        <w:rPr>
          <w:rFonts w:hint="eastAsia" w:ascii="宋体" w:hAnsi="宋体" w:eastAsia="宋体" w:cs="宋体"/>
          <w:b/>
          <w:bCs/>
          <w:sz w:val="28"/>
          <w:szCs w:val="28"/>
        </w:rPr>
      </w:pPr>
      <w:r>
        <w:rPr>
          <w:rFonts w:hint="eastAsia" w:ascii="宋体" w:hAnsi="宋体" w:eastAsia="宋体" w:cs="宋体"/>
          <w:b/>
          <w:bCs/>
          <w:sz w:val="28"/>
          <w:szCs w:val="28"/>
        </w:rPr>
        <w:t>（</w:t>
      </w:r>
      <w:r>
        <w:rPr>
          <w:rFonts w:hint="eastAsia" w:ascii="宋体" w:hAnsi="宋体" w:eastAsia="宋体" w:cs="宋体"/>
          <w:b/>
          <w:bCs/>
          <w:sz w:val="28"/>
          <w:szCs w:val="28"/>
        </w:rPr>
        <w:t>1</w:t>
      </w:r>
      <w:r>
        <w:rPr>
          <w:rFonts w:hint="eastAsia" w:ascii="宋体" w:hAnsi="宋体" w:eastAsia="宋体" w:cs="宋体"/>
          <w:b/>
          <w:bCs/>
          <w:sz w:val="28"/>
          <w:szCs w:val="28"/>
        </w:rPr>
        <w:t>）主动防护设计</w:t>
      </w:r>
    </w:p>
    <w:p w14:paraId="2187EDFE">
      <w:pPr>
        <w:pStyle w:val="2"/>
        <w:spacing w:line="360" w:lineRule="auto"/>
        <w:ind w:firstLine="480" w:firstLineChars="200"/>
        <w:rPr>
          <w:rFonts w:hint="eastAsia" w:ascii="宋体" w:hAnsi="宋体" w:eastAsia="宋体" w:cs="宋体"/>
        </w:rPr>
      </w:pPr>
      <w:r>
        <w:rPr>
          <w:rFonts w:hint="eastAsia" w:ascii="宋体" w:hAnsi="宋体" w:eastAsia="宋体" w:cs="宋体"/>
        </w:rPr>
        <w:t>产品应具备主动监测电动汽车</w:t>
      </w:r>
      <w:r>
        <w:rPr>
          <w:rFonts w:hint="eastAsia" w:ascii="宋体" w:hAnsi="宋体" w:eastAsia="宋体" w:cs="宋体"/>
        </w:rPr>
        <w:t xml:space="preserve"> BMS</w:t>
      </w:r>
      <w:r>
        <w:rPr>
          <w:rFonts w:hint="eastAsia" w:ascii="宋体" w:hAnsi="宋体" w:eastAsia="宋体" w:cs="宋体"/>
          <w:spacing w:val="10"/>
        </w:rPr>
        <w:t xml:space="preserve"> </w:t>
      </w:r>
      <w:r>
        <w:rPr>
          <w:rFonts w:hint="eastAsia" w:ascii="宋体" w:hAnsi="宋体" w:eastAsia="宋体" w:cs="宋体"/>
          <w:spacing w:val="-7"/>
        </w:rPr>
        <w:t>运行状态、电池特性参数及充电机自</w:t>
      </w:r>
      <w:r>
        <w:rPr>
          <w:rFonts w:hint="eastAsia" w:ascii="宋体" w:hAnsi="宋体" w:eastAsia="宋体" w:cs="宋体"/>
        </w:rPr>
        <w:t>身的运行状态等功能，须采用安全冗余设计，主动诊断并处理故障和异常，实现电动汽车充电过程的主动防护。能够对</w:t>
      </w:r>
      <w:r>
        <w:rPr>
          <w:rFonts w:hint="eastAsia" w:ascii="宋体" w:hAnsi="宋体" w:eastAsia="宋体" w:cs="宋体"/>
        </w:rPr>
        <w:t xml:space="preserve"> BMS </w:t>
      </w:r>
      <w:r>
        <w:rPr>
          <w:rFonts w:hint="eastAsia" w:ascii="宋体" w:hAnsi="宋体" w:eastAsia="宋体" w:cs="宋体"/>
        </w:rPr>
        <w:t>的保护需求进行及时响应；</w:t>
      </w:r>
      <w:r>
        <w:rPr>
          <w:rFonts w:hint="eastAsia" w:ascii="宋体" w:hAnsi="宋体" w:eastAsia="宋体" w:cs="宋体"/>
        </w:rPr>
        <w:t xml:space="preserve"> </w:t>
      </w:r>
      <w:r>
        <w:rPr>
          <w:rFonts w:hint="eastAsia" w:ascii="宋体" w:hAnsi="宋体" w:eastAsia="宋体" w:cs="宋体"/>
        </w:rPr>
        <w:t>直流充电机能够对充电过程中动力电池的安全事故进行预警，至少包括电池</w:t>
      </w:r>
      <w:r>
        <w:rPr>
          <w:rFonts w:hint="eastAsia" w:ascii="宋体" w:hAnsi="宋体" w:eastAsia="宋体" w:cs="宋体"/>
        </w:rPr>
        <w:t xml:space="preserve"> </w:t>
      </w:r>
      <w:r>
        <w:rPr>
          <w:rFonts w:hint="eastAsia" w:ascii="宋体" w:hAnsi="宋体" w:eastAsia="宋体" w:cs="宋体"/>
        </w:rPr>
        <w:t>组内温度偏高故障、单体电池超过截止电压故障、绝缘故障、热失控故障预</w:t>
      </w:r>
      <w:r>
        <w:rPr>
          <w:rFonts w:hint="eastAsia" w:ascii="宋体" w:hAnsi="宋体" w:eastAsia="宋体" w:cs="宋体"/>
        </w:rPr>
        <w:t xml:space="preserve"> </w:t>
      </w:r>
      <w:r>
        <w:rPr>
          <w:rFonts w:hint="eastAsia" w:ascii="宋体" w:hAnsi="宋体" w:eastAsia="宋体" w:cs="宋体"/>
        </w:rPr>
        <w:t>警功能。</w:t>
      </w:r>
    </w:p>
    <w:p w14:paraId="583F9BB3">
      <w:pPr>
        <w:keepNext w:val="0"/>
        <w:keepLines w:val="0"/>
        <w:pageBreakBefore w:val="0"/>
        <w:widowControl w:val="0"/>
        <w:kinsoku/>
        <w:wordWrap/>
        <w:overflowPunct/>
        <w:topLinePunct w:val="0"/>
        <w:autoSpaceDE/>
        <w:autoSpaceDN/>
        <w:bidi w:val="0"/>
        <w:adjustRightInd/>
        <w:snapToGrid/>
        <w:spacing w:line="274" w:lineRule="auto"/>
        <w:ind w:left="669" w:right="102" w:hanging="283"/>
        <w:textAlignment w:val="auto"/>
        <w:rPr>
          <w:rFonts w:hint="eastAsia" w:ascii="宋体" w:hAnsi="宋体" w:eastAsia="宋体" w:cs="宋体"/>
          <w:b/>
          <w:bCs/>
          <w:sz w:val="28"/>
          <w:szCs w:val="28"/>
        </w:rPr>
      </w:pPr>
      <w:r>
        <w:rPr>
          <w:rFonts w:hint="eastAsia" w:ascii="宋体" w:hAnsi="宋体" w:eastAsia="宋体" w:cs="宋体"/>
          <w:b/>
          <w:bCs/>
          <w:sz w:val="28"/>
          <w:szCs w:val="28"/>
        </w:rPr>
        <w:t xml:space="preserve">（2）绝缘检测功能 </w:t>
      </w:r>
    </w:p>
    <w:p w14:paraId="64F3606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充电机应具备对直流输出回路进行绝缘检测的功能，并且充电机的绝缘检测功能应与车辆绝缘检测功能相配合。充电机的绝缘检测功能应符合</w:t>
      </w:r>
      <w:r>
        <w:rPr>
          <w:rFonts w:hint="eastAsia" w:ascii="宋体" w:hAnsi="宋体" w:eastAsia="宋体" w:cs="宋体"/>
          <w:sz w:val="24"/>
          <w:szCs w:val="24"/>
        </w:rPr>
        <w:t xml:space="preserve"> GB/T 18487.1</w:t>
      </w:r>
      <w:r>
        <w:rPr>
          <w:rFonts w:hint="eastAsia" w:ascii="宋体" w:hAnsi="宋体" w:eastAsia="宋体" w:cs="宋体"/>
          <w:sz w:val="24"/>
          <w:szCs w:val="24"/>
        </w:rPr>
        <w:t>－</w:t>
      </w:r>
      <w:r>
        <w:rPr>
          <w:rFonts w:hint="eastAsia" w:ascii="宋体" w:hAnsi="宋体" w:eastAsia="宋体" w:cs="宋体"/>
          <w:sz w:val="24"/>
          <w:szCs w:val="24"/>
        </w:rPr>
        <w:t xml:space="preserve">2015 </w:t>
      </w:r>
      <w:r>
        <w:rPr>
          <w:rFonts w:hint="eastAsia" w:ascii="宋体" w:hAnsi="宋体" w:eastAsia="宋体" w:cs="宋体"/>
          <w:sz w:val="24"/>
          <w:szCs w:val="24"/>
        </w:rPr>
        <w:t>中</w:t>
      </w:r>
      <w:r>
        <w:rPr>
          <w:rFonts w:hint="eastAsia" w:ascii="宋体" w:hAnsi="宋体" w:eastAsia="宋体" w:cs="宋体"/>
          <w:sz w:val="24"/>
          <w:szCs w:val="24"/>
        </w:rPr>
        <w:t xml:space="preserve"> B.4.3 </w:t>
      </w:r>
      <w:r>
        <w:rPr>
          <w:rFonts w:hint="eastAsia" w:ascii="宋体" w:hAnsi="宋体" w:eastAsia="宋体" w:cs="宋体"/>
          <w:sz w:val="24"/>
          <w:szCs w:val="24"/>
        </w:rPr>
        <w:t>的规定。充电机在进行绝缘检测前应检测直流输出接触器</w:t>
      </w:r>
      <w:r>
        <w:rPr>
          <w:rFonts w:hint="eastAsia" w:ascii="宋体" w:hAnsi="宋体" w:eastAsia="宋体" w:cs="宋体"/>
          <w:sz w:val="24"/>
          <w:szCs w:val="24"/>
        </w:rPr>
        <w:t>(K1</w:t>
      </w:r>
      <w:r>
        <w:rPr>
          <w:rFonts w:hint="eastAsia" w:ascii="宋体" w:hAnsi="宋体" w:eastAsia="宋体" w:cs="宋体"/>
          <w:sz w:val="24"/>
          <w:szCs w:val="24"/>
        </w:rPr>
        <w:t>、</w:t>
      </w:r>
      <w:r>
        <w:rPr>
          <w:rFonts w:hint="eastAsia" w:ascii="宋体" w:hAnsi="宋体" w:eastAsia="宋体" w:cs="宋体"/>
          <w:sz w:val="24"/>
          <w:szCs w:val="24"/>
        </w:rPr>
        <w:t>K2)</w:t>
      </w:r>
      <w:r>
        <w:rPr>
          <w:rFonts w:hint="eastAsia" w:ascii="宋体" w:hAnsi="宋体" w:eastAsia="宋体" w:cs="宋体"/>
          <w:sz w:val="24"/>
          <w:szCs w:val="24"/>
        </w:rPr>
        <w:t>的外测电压，当此电压超过</w:t>
      </w:r>
      <w:r>
        <w:rPr>
          <w:rFonts w:hint="eastAsia" w:ascii="宋体" w:hAnsi="宋体" w:eastAsia="宋体" w:cs="宋体"/>
          <w:sz w:val="24"/>
          <w:szCs w:val="24"/>
        </w:rPr>
        <w:t xml:space="preserve">+10V </w:t>
      </w:r>
      <w:r>
        <w:rPr>
          <w:rFonts w:hint="eastAsia" w:ascii="宋体" w:hAnsi="宋体" w:eastAsia="宋体" w:cs="宋体"/>
          <w:sz w:val="24"/>
          <w:szCs w:val="24"/>
        </w:rPr>
        <w:t>时应停止绝缘检测流程并发出告警信息。</w:t>
      </w:r>
    </w:p>
    <w:p w14:paraId="606DA326">
      <w:pPr>
        <w:keepNext w:val="0"/>
        <w:keepLines w:val="0"/>
        <w:pageBreakBefore w:val="0"/>
        <w:widowControl w:val="0"/>
        <w:kinsoku/>
        <w:wordWrap/>
        <w:overflowPunct/>
        <w:topLinePunct w:val="0"/>
        <w:autoSpaceDE/>
        <w:autoSpaceDN/>
        <w:bidi w:val="0"/>
        <w:adjustRightInd/>
        <w:snapToGrid/>
        <w:spacing w:line="274" w:lineRule="auto"/>
        <w:ind w:left="669" w:right="102" w:hanging="283"/>
        <w:textAlignment w:val="auto"/>
        <w:rPr>
          <w:rFonts w:hint="eastAsia" w:ascii="宋体" w:hAnsi="宋体" w:eastAsia="宋体" w:cs="宋体"/>
          <w:b/>
          <w:bCs/>
          <w:sz w:val="28"/>
          <w:szCs w:val="28"/>
        </w:rPr>
      </w:pPr>
      <w:r>
        <w:rPr>
          <w:rFonts w:hint="eastAsia" w:ascii="宋体" w:hAnsi="宋体" w:eastAsia="宋体" w:cs="宋体"/>
          <w:b/>
          <w:bCs/>
          <w:sz w:val="28"/>
          <w:szCs w:val="28"/>
        </w:rPr>
        <w:t xml:space="preserve">（3）直流输出回路短路检测功能 </w:t>
      </w:r>
    </w:p>
    <w:p w14:paraId="5EBF7743">
      <w:pPr>
        <w:spacing w:line="360" w:lineRule="auto"/>
        <w:ind w:left="664" w:right="101" w:hanging="281"/>
        <w:rPr>
          <w:rFonts w:hint="eastAsia" w:ascii="宋体" w:hAnsi="宋体" w:eastAsia="宋体" w:cs="宋体"/>
          <w:sz w:val="24"/>
          <w:szCs w:val="24"/>
        </w:rPr>
      </w:pPr>
      <w:r>
        <w:rPr>
          <w:rFonts w:hint="eastAsia" w:ascii="宋体" w:hAnsi="宋体" w:eastAsia="宋体" w:cs="宋体"/>
          <w:sz w:val="24"/>
          <w:szCs w:val="24"/>
        </w:rPr>
        <w:t>充电机应具备对直流输出回路进行短路检测的功能，充电机的短路检测在绝缘检测阶段进行，当直流输出回路出现短路故障时，应停止充电过程并</w:t>
      </w:r>
      <w:r>
        <w:rPr>
          <w:rFonts w:hint="eastAsia" w:ascii="宋体" w:hAnsi="宋体" w:eastAsia="宋体" w:cs="宋体"/>
          <w:spacing w:val="-101"/>
          <w:sz w:val="24"/>
          <w:szCs w:val="24"/>
        </w:rPr>
        <w:t xml:space="preserve"> </w:t>
      </w:r>
      <w:r>
        <w:rPr>
          <w:rFonts w:hint="eastAsia" w:ascii="宋体" w:hAnsi="宋体" w:eastAsia="宋体" w:cs="宋体"/>
          <w:sz w:val="24"/>
          <w:szCs w:val="24"/>
        </w:rPr>
        <w:t>发出告警提示。</w:t>
      </w:r>
    </w:p>
    <w:p w14:paraId="5C390750">
      <w:pPr>
        <w:keepNext w:val="0"/>
        <w:keepLines w:val="0"/>
        <w:pageBreakBefore w:val="0"/>
        <w:widowControl w:val="0"/>
        <w:kinsoku/>
        <w:wordWrap/>
        <w:overflowPunct/>
        <w:topLinePunct w:val="0"/>
        <w:autoSpaceDE/>
        <w:autoSpaceDN/>
        <w:bidi w:val="0"/>
        <w:adjustRightInd/>
        <w:snapToGrid/>
        <w:spacing w:line="274" w:lineRule="auto"/>
        <w:ind w:left="669" w:right="102" w:hanging="283"/>
        <w:textAlignment w:val="auto"/>
        <w:rPr>
          <w:rFonts w:hint="eastAsia" w:ascii="宋体" w:hAnsi="宋体" w:eastAsia="宋体" w:cs="宋体"/>
          <w:b/>
          <w:bCs/>
          <w:sz w:val="28"/>
          <w:szCs w:val="28"/>
        </w:rPr>
      </w:pPr>
      <w:r>
        <w:rPr>
          <w:rFonts w:hint="eastAsia" w:ascii="宋体" w:hAnsi="宋体" w:eastAsia="宋体" w:cs="宋体"/>
          <w:b/>
          <w:bCs/>
          <w:sz w:val="28"/>
          <w:szCs w:val="28"/>
        </w:rPr>
        <w:t xml:space="preserve">（4）车辆插头锁止功能 </w:t>
      </w:r>
    </w:p>
    <w:p w14:paraId="214839B1">
      <w:pPr>
        <w:spacing w:before="11" w:line="360" w:lineRule="auto"/>
        <w:ind w:left="664" w:right="1520" w:hanging="281"/>
        <w:rPr>
          <w:rFonts w:hint="eastAsia" w:ascii="宋体" w:hAnsi="宋体" w:eastAsia="宋体" w:cs="宋体"/>
          <w:sz w:val="28"/>
          <w:szCs w:val="28"/>
        </w:rPr>
      </w:pPr>
      <w:r>
        <w:rPr>
          <w:rFonts w:hint="eastAsia" w:ascii="宋体" w:hAnsi="宋体" w:eastAsia="宋体" w:cs="宋体"/>
          <w:spacing w:val="-2"/>
          <w:sz w:val="28"/>
          <w:szCs w:val="28"/>
        </w:rPr>
        <w:t>充电机车辆插头应具备锁止装置，其功能应符合：</w:t>
      </w:r>
    </w:p>
    <w:p w14:paraId="067DC629">
      <w:pPr>
        <w:pStyle w:val="2"/>
        <w:spacing w:line="360" w:lineRule="auto"/>
        <w:ind w:left="523" w:right="101"/>
        <w:rPr>
          <w:rFonts w:hint="eastAsia" w:ascii="宋体" w:hAnsi="宋体" w:eastAsia="宋体" w:cs="宋体"/>
        </w:rPr>
      </w:pPr>
      <w:r>
        <w:rPr>
          <w:rFonts w:hint="eastAsia" w:ascii="宋体" w:hAnsi="宋体" w:eastAsia="宋体" w:cs="宋体"/>
        </w:rPr>
        <w:t>①</w:t>
      </w:r>
      <w:r>
        <w:rPr>
          <w:rFonts w:hint="eastAsia" w:ascii="宋体" w:hAnsi="宋体" w:eastAsia="宋体" w:cs="宋体"/>
        </w:rPr>
        <w:t>GB/T</w:t>
      </w:r>
      <w:r>
        <w:rPr>
          <w:rFonts w:hint="eastAsia" w:ascii="宋体" w:hAnsi="宋体" w:eastAsia="宋体" w:cs="宋体"/>
          <w:spacing w:val="-3"/>
        </w:rPr>
        <w:t xml:space="preserve"> </w:t>
      </w:r>
      <w:r>
        <w:rPr>
          <w:rFonts w:hint="eastAsia" w:ascii="宋体" w:hAnsi="宋体" w:eastAsia="宋体" w:cs="宋体"/>
        </w:rPr>
        <w:t>18487.1</w:t>
      </w:r>
      <w:r>
        <w:rPr>
          <w:rFonts w:hint="eastAsia" w:ascii="宋体" w:hAnsi="宋体" w:eastAsia="宋体" w:cs="宋体"/>
        </w:rPr>
        <w:t>－</w:t>
      </w:r>
      <w:r>
        <w:rPr>
          <w:rFonts w:hint="eastAsia" w:ascii="宋体" w:hAnsi="宋体" w:eastAsia="宋体" w:cs="宋体"/>
        </w:rPr>
        <w:t>2015</w:t>
      </w:r>
      <w:r>
        <w:rPr>
          <w:rFonts w:hint="eastAsia" w:ascii="宋体" w:hAnsi="宋体" w:eastAsia="宋体" w:cs="宋体"/>
          <w:spacing w:val="-74"/>
        </w:rPr>
        <w:t xml:space="preserve"> </w:t>
      </w:r>
      <w:r>
        <w:rPr>
          <w:rFonts w:hint="eastAsia" w:ascii="宋体" w:hAnsi="宋体" w:eastAsia="宋体" w:cs="宋体"/>
        </w:rPr>
        <w:t>中</w:t>
      </w:r>
      <w:r>
        <w:rPr>
          <w:rFonts w:hint="eastAsia" w:ascii="宋体" w:hAnsi="宋体" w:eastAsia="宋体" w:cs="宋体"/>
          <w:spacing w:val="-73"/>
        </w:rPr>
        <w:t xml:space="preserve"> </w:t>
      </w:r>
      <w:r>
        <w:rPr>
          <w:rFonts w:hint="eastAsia" w:ascii="宋体" w:hAnsi="宋体" w:eastAsia="宋体" w:cs="宋体"/>
        </w:rPr>
        <w:t>10.6</w:t>
      </w:r>
      <w:r>
        <w:rPr>
          <w:rFonts w:hint="eastAsia" w:ascii="宋体" w:hAnsi="宋体" w:eastAsia="宋体" w:cs="宋体"/>
          <w:spacing w:val="-74"/>
        </w:rPr>
        <w:t xml:space="preserve"> </w:t>
      </w:r>
      <w:r>
        <w:rPr>
          <w:rFonts w:hint="eastAsia" w:ascii="宋体" w:hAnsi="宋体" w:eastAsia="宋体" w:cs="宋体"/>
        </w:rPr>
        <w:t>条的要求。</w:t>
      </w:r>
    </w:p>
    <w:p w14:paraId="7CAEBAA8">
      <w:pPr>
        <w:pStyle w:val="2"/>
        <w:spacing w:before="53" w:line="360" w:lineRule="auto"/>
        <w:ind w:left="523" w:right="101"/>
        <w:rPr>
          <w:rFonts w:hint="eastAsia" w:ascii="宋体" w:hAnsi="宋体" w:eastAsia="宋体" w:cs="宋体"/>
        </w:rPr>
      </w:pPr>
      <w:r>
        <w:rPr>
          <w:rFonts w:hint="eastAsia" w:ascii="宋体" w:hAnsi="宋体" w:eastAsia="宋体" w:cs="宋体"/>
        </w:rPr>
        <w:t>②</w:t>
      </w:r>
      <w:r>
        <w:rPr>
          <w:rFonts w:hint="eastAsia" w:ascii="宋体" w:hAnsi="宋体" w:eastAsia="宋体" w:cs="宋体"/>
        </w:rPr>
        <w:t>GB/T</w:t>
      </w:r>
      <w:r>
        <w:rPr>
          <w:rFonts w:hint="eastAsia" w:ascii="宋体" w:hAnsi="宋体" w:eastAsia="宋体" w:cs="宋体"/>
          <w:spacing w:val="-2"/>
        </w:rPr>
        <w:t xml:space="preserve"> </w:t>
      </w:r>
      <w:r>
        <w:rPr>
          <w:rFonts w:hint="eastAsia" w:ascii="宋体" w:hAnsi="宋体" w:eastAsia="宋体" w:cs="宋体"/>
        </w:rPr>
        <w:t>20234.1</w:t>
      </w:r>
      <w:r>
        <w:rPr>
          <w:rFonts w:hint="eastAsia" w:ascii="宋体" w:hAnsi="宋体" w:eastAsia="宋体" w:cs="宋体"/>
        </w:rPr>
        <w:t>－</w:t>
      </w:r>
      <w:r>
        <w:rPr>
          <w:rFonts w:hint="eastAsia" w:ascii="宋体" w:hAnsi="宋体" w:eastAsia="宋体" w:cs="宋体"/>
        </w:rPr>
        <w:t>2015</w:t>
      </w:r>
      <w:r>
        <w:rPr>
          <w:rFonts w:hint="eastAsia" w:ascii="宋体" w:hAnsi="宋体" w:eastAsia="宋体" w:cs="宋体"/>
          <w:spacing w:val="-73"/>
        </w:rPr>
        <w:t xml:space="preserve"> </w:t>
      </w:r>
      <w:r>
        <w:rPr>
          <w:rFonts w:hint="eastAsia" w:ascii="宋体" w:hAnsi="宋体" w:eastAsia="宋体" w:cs="宋体"/>
        </w:rPr>
        <w:t>中</w:t>
      </w:r>
      <w:r>
        <w:rPr>
          <w:rFonts w:hint="eastAsia" w:ascii="宋体" w:hAnsi="宋体" w:eastAsia="宋体" w:cs="宋体"/>
          <w:spacing w:val="-72"/>
        </w:rPr>
        <w:t xml:space="preserve"> </w:t>
      </w:r>
      <w:r>
        <w:rPr>
          <w:rFonts w:hint="eastAsia" w:ascii="宋体" w:hAnsi="宋体" w:eastAsia="宋体" w:cs="宋体"/>
        </w:rPr>
        <w:t>6.3</w:t>
      </w:r>
      <w:r>
        <w:rPr>
          <w:rFonts w:hint="eastAsia" w:ascii="宋体" w:hAnsi="宋体" w:eastAsia="宋体" w:cs="宋体"/>
          <w:spacing w:val="-73"/>
        </w:rPr>
        <w:t xml:space="preserve"> .4</w:t>
      </w:r>
      <w:r>
        <w:rPr>
          <w:rFonts w:hint="eastAsia" w:ascii="宋体" w:hAnsi="宋体" w:eastAsia="宋体" w:cs="宋体"/>
        </w:rPr>
        <w:t>条的要求。</w:t>
      </w:r>
    </w:p>
    <w:p w14:paraId="080B5840">
      <w:pPr>
        <w:pStyle w:val="2"/>
        <w:spacing w:before="53" w:line="360" w:lineRule="auto"/>
        <w:ind w:right="101" w:firstLine="420"/>
        <w:rPr>
          <w:rFonts w:hint="eastAsia" w:ascii="宋体" w:hAnsi="宋体" w:eastAsia="宋体" w:cs="宋体"/>
        </w:rPr>
      </w:pPr>
      <w:r>
        <w:rPr>
          <w:rFonts w:hint="eastAsia" w:ascii="宋体" w:hAnsi="宋体" w:eastAsia="宋体" w:cs="宋体"/>
          <w:spacing w:val="4"/>
        </w:rPr>
        <w:t>在出现下列情况时，锁止装置应能解锁且解锁前车辆插头端口电压不应超过</w:t>
      </w:r>
      <w:r>
        <w:rPr>
          <w:rFonts w:hint="eastAsia" w:ascii="宋体" w:hAnsi="宋体" w:eastAsia="宋体" w:cs="宋体"/>
          <w:spacing w:val="4"/>
        </w:rPr>
        <w:t xml:space="preserve"> 60V</w:t>
      </w:r>
      <w:r>
        <w:rPr>
          <w:rFonts w:hint="eastAsia" w:ascii="宋体" w:hAnsi="宋体" w:eastAsia="宋体" w:cs="宋体"/>
        </w:rPr>
        <w:t>：</w:t>
      </w:r>
    </w:p>
    <w:p w14:paraId="129D1737">
      <w:pPr>
        <w:pStyle w:val="2"/>
        <w:spacing w:line="360" w:lineRule="auto"/>
        <w:ind w:left="523" w:right="101"/>
        <w:rPr>
          <w:rFonts w:hint="eastAsia" w:ascii="宋体" w:hAnsi="宋体" w:eastAsia="宋体" w:cs="宋体"/>
        </w:rPr>
      </w:pPr>
      <w:r>
        <w:rPr>
          <w:rFonts w:hint="eastAsia" w:ascii="宋体" w:hAnsi="宋体" w:eastAsia="宋体" w:cs="宋体"/>
        </w:rPr>
        <w:t>——</w:t>
      </w:r>
      <w:r>
        <w:rPr>
          <w:rFonts w:hint="eastAsia" w:ascii="宋体" w:hAnsi="宋体" w:eastAsia="宋体" w:cs="宋体"/>
        </w:rPr>
        <w:t>故障不能继续充电；</w:t>
      </w:r>
    </w:p>
    <w:p w14:paraId="29A6A8F3">
      <w:pPr>
        <w:pStyle w:val="2"/>
        <w:spacing w:before="53" w:line="360" w:lineRule="auto"/>
        <w:ind w:left="523" w:right="101"/>
        <w:rPr>
          <w:rFonts w:hint="eastAsia" w:ascii="宋体" w:hAnsi="宋体" w:eastAsia="宋体" w:cs="宋体"/>
        </w:rPr>
      </w:pPr>
      <w:r>
        <w:rPr>
          <w:rFonts w:hint="eastAsia" w:ascii="宋体" w:hAnsi="宋体" w:eastAsia="宋体" w:cs="宋体"/>
        </w:rPr>
        <w:t>——</w:t>
      </w:r>
      <w:r>
        <w:rPr>
          <w:rFonts w:hint="eastAsia" w:ascii="宋体" w:hAnsi="宋体" w:eastAsia="宋体" w:cs="宋体"/>
        </w:rPr>
        <w:t>充电完成。</w:t>
      </w:r>
    </w:p>
    <w:p w14:paraId="4B58544F">
      <w:pPr>
        <w:keepNext w:val="0"/>
        <w:keepLines w:val="0"/>
        <w:pageBreakBefore w:val="0"/>
        <w:widowControl w:val="0"/>
        <w:kinsoku/>
        <w:wordWrap/>
        <w:overflowPunct/>
        <w:topLinePunct w:val="0"/>
        <w:autoSpaceDE/>
        <w:autoSpaceDN/>
        <w:bidi w:val="0"/>
        <w:adjustRightInd/>
        <w:snapToGrid/>
        <w:spacing w:line="274" w:lineRule="auto"/>
        <w:ind w:left="669" w:right="102" w:hanging="283"/>
        <w:textAlignment w:val="auto"/>
        <w:rPr>
          <w:rFonts w:hint="eastAsia" w:ascii="宋体" w:hAnsi="宋体" w:eastAsia="宋体" w:cs="宋体"/>
          <w:b/>
          <w:bCs/>
          <w:sz w:val="28"/>
          <w:szCs w:val="28"/>
        </w:rPr>
      </w:pPr>
      <w:r>
        <w:rPr>
          <w:rFonts w:hint="eastAsia" w:ascii="宋体" w:hAnsi="宋体" w:eastAsia="宋体" w:cs="宋体"/>
          <w:b/>
          <w:bCs/>
          <w:sz w:val="28"/>
          <w:szCs w:val="28"/>
        </w:rPr>
        <w:t xml:space="preserve">（5）车辆插头温度监控功能 </w:t>
      </w:r>
    </w:p>
    <w:p w14:paraId="6757017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充电机应具备对车辆插头正、负极柱进行温度监控的功能。当极柱温度达</w:t>
      </w:r>
      <w:r>
        <w:rPr>
          <w:rFonts w:hint="eastAsia" w:ascii="宋体" w:hAnsi="宋体" w:eastAsia="宋体" w:cs="宋体"/>
          <w:sz w:val="24"/>
          <w:szCs w:val="24"/>
        </w:rPr>
        <w:t>90</w:t>
      </w:r>
      <w:r>
        <w:rPr>
          <w:rFonts w:hint="eastAsia" w:ascii="宋体" w:hAnsi="宋体" w:eastAsia="宋体" w:cs="宋体"/>
          <w:sz w:val="24"/>
          <w:szCs w:val="24"/>
        </w:rPr>
        <w:t>℃时，应降低输出功率</w:t>
      </w:r>
      <w:r>
        <w:rPr>
          <w:rFonts w:hint="eastAsia" w:ascii="宋体" w:hAnsi="宋体" w:eastAsia="宋体" w:cs="宋体"/>
          <w:sz w:val="24"/>
          <w:szCs w:val="24"/>
        </w:rPr>
        <w:t>;</w:t>
      </w:r>
      <w:r>
        <w:rPr>
          <w:rFonts w:hint="eastAsia" w:ascii="宋体" w:hAnsi="宋体" w:eastAsia="宋体" w:cs="宋体"/>
          <w:sz w:val="24"/>
          <w:szCs w:val="24"/>
        </w:rPr>
        <w:t>当极柱温度</w:t>
      </w:r>
      <w:r>
        <w:rPr>
          <w:rFonts w:hint="eastAsia" w:ascii="宋体" w:hAnsi="宋体" w:eastAsia="宋体" w:cs="宋体"/>
          <w:sz w:val="24"/>
          <w:szCs w:val="24"/>
        </w:rPr>
        <w:t>290</w:t>
      </w:r>
      <w:r>
        <w:rPr>
          <w:rFonts w:hint="eastAsia" w:ascii="宋体" w:hAnsi="宋体" w:eastAsia="宋体" w:cs="宋体"/>
          <w:sz w:val="24"/>
          <w:szCs w:val="24"/>
        </w:rPr>
        <w:t>℃且持续时间超过</w:t>
      </w:r>
      <w:r>
        <w:rPr>
          <w:rFonts w:hint="eastAsia" w:ascii="宋体" w:hAnsi="宋体" w:eastAsia="宋体" w:cs="宋体"/>
          <w:sz w:val="24"/>
          <w:szCs w:val="24"/>
        </w:rPr>
        <w:t xml:space="preserve"> 10min</w:t>
      </w:r>
      <w:r>
        <w:rPr>
          <w:rFonts w:hint="eastAsia" w:ascii="宋体" w:hAnsi="宋体" w:eastAsia="宋体" w:cs="宋体"/>
          <w:sz w:val="24"/>
          <w:szCs w:val="24"/>
        </w:rPr>
        <w:t>，或极柱温度达到</w:t>
      </w:r>
      <w:r>
        <w:rPr>
          <w:rFonts w:hint="eastAsia" w:ascii="宋体" w:hAnsi="宋体" w:eastAsia="宋体" w:cs="宋体"/>
          <w:sz w:val="24"/>
          <w:szCs w:val="24"/>
        </w:rPr>
        <w:t xml:space="preserve"> 105</w:t>
      </w:r>
      <w:r>
        <w:rPr>
          <w:rFonts w:hint="eastAsia" w:ascii="宋体" w:hAnsi="宋体" w:eastAsia="宋体" w:cs="宋体"/>
          <w:sz w:val="24"/>
          <w:szCs w:val="24"/>
        </w:rPr>
        <w:t>℃时，应停止充电并发出告警信号，实现超温断电，提升安全性。</w:t>
      </w:r>
    </w:p>
    <w:p w14:paraId="478F08DD">
      <w:pPr>
        <w:keepNext w:val="0"/>
        <w:keepLines w:val="0"/>
        <w:pageBreakBefore w:val="0"/>
        <w:widowControl w:val="0"/>
        <w:kinsoku/>
        <w:wordWrap/>
        <w:overflowPunct/>
        <w:topLinePunct w:val="0"/>
        <w:autoSpaceDE/>
        <w:autoSpaceDN/>
        <w:bidi w:val="0"/>
        <w:adjustRightInd/>
        <w:snapToGrid/>
        <w:spacing w:line="274" w:lineRule="auto"/>
        <w:ind w:left="669" w:right="102" w:hanging="283"/>
        <w:textAlignment w:val="auto"/>
        <w:rPr>
          <w:rFonts w:hint="eastAsia" w:ascii="宋体" w:hAnsi="宋体" w:eastAsia="宋体" w:cs="宋体"/>
          <w:b/>
          <w:bCs/>
          <w:sz w:val="28"/>
          <w:szCs w:val="28"/>
        </w:rPr>
      </w:pPr>
      <w:r>
        <w:rPr>
          <w:rFonts w:hint="eastAsia" w:ascii="宋体" w:hAnsi="宋体" w:eastAsia="宋体" w:cs="宋体"/>
          <w:b/>
          <w:bCs/>
          <w:sz w:val="28"/>
          <w:szCs w:val="28"/>
        </w:rPr>
        <w:t xml:space="preserve">（6）急停功能 </w:t>
      </w:r>
    </w:p>
    <w:p w14:paraId="6033360E">
      <w:pPr>
        <w:spacing w:line="360" w:lineRule="auto"/>
        <w:ind w:left="210" w:leftChars="100" w:firstLine="480" w:firstLineChars="200"/>
        <w:jc w:val="left"/>
        <w:rPr>
          <w:rFonts w:hint="eastAsia" w:ascii="宋体" w:hAnsi="宋体" w:eastAsia="宋体" w:cs="宋体"/>
          <w:sz w:val="24"/>
          <w:szCs w:val="24"/>
        </w:rPr>
      </w:pPr>
      <w:r>
        <w:rPr>
          <w:rFonts w:hint="eastAsia" w:ascii="宋体" w:hAnsi="宋体" w:eastAsia="宋体" w:cs="宋体"/>
          <w:sz w:val="24"/>
          <w:szCs w:val="24"/>
        </w:rPr>
        <w:t>充电机应安装急停装置，且具备防止误操作的防护措施。一体式充电机在启动急停装置时，应切断供电设备和电动汽车之间的联系。分体式充电机</w:t>
      </w:r>
      <w:r>
        <w:rPr>
          <w:rFonts w:hint="eastAsia" w:ascii="宋体" w:hAnsi="宋体" w:eastAsia="宋体" w:cs="宋体"/>
          <w:spacing w:val="-101"/>
          <w:sz w:val="24"/>
          <w:szCs w:val="24"/>
        </w:rPr>
        <w:t xml:space="preserve"> </w:t>
      </w:r>
      <w:r>
        <w:rPr>
          <w:rFonts w:hint="eastAsia" w:ascii="宋体" w:hAnsi="宋体" w:eastAsia="宋体" w:cs="宋体"/>
          <w:sz w:val="24"/>
          <w:szCs w:val="24"/>
        </w:rPr>
        <w:t>在启动急停装置时，应切断相应充电终端的直流输出。急停装置其功能应符</w:t>
      </w:r>
      <w:r>
        <w:rPr>
          <w:rFonts w:hint="eastAsia" w:ascii="宋体" w:hAnsi="宋体" w:eastAsia="宋体" w:cs="宋体"/>
          <w:spacing w:val="-101"/>
          <w:sz w:val="24"/>
          <w:szCs w:val="24"/>
        </w:rPr>
        <w:t xml:space="preserve"> </w:t>
      </w:r>
      <w:r>
        <w:rPr>
          <w:rFonts w:hint="eastAsia" w:ascii="宋体" w:hAnsi="宋体" w:eastAsia="宋体" w:cs="宋体"/>
          <w:sz w:val="24"/>
          <w:szCs w:val="24"/>
        </w:rPr>
        <w:t>合</w:t>
      </w:r>
      <w:r>
        <w:rPr>
          <w:rFonts w:hint="eastAsia" w:ascii="宋体" w:hAnsi="宋体" w:eastAsia="宋体" w:cs="宋体"/>
          <w:spacing w:val="-64"/>
          <w:sz w:val="24"/>
          <w:szCs w:val="24"/>
        </w:rPr>
        <w:t xml:space="preserve"> </w:t>
      </w:r>
      <w:r>
        <w:rPr>
          <w:rFonts w:hint="eastAsia" w:ascii="宋体" w:hAnsi="宋体" w:eastAsia="宋体" w:cs="宋体"/>
          <w:sz w:val="24"/>
          <w:szCs w:val="24"/>
        </w:rPr>
        <w:t>GB/T</w:t>
      </w:r>
      <w:r>
        <w:rPr>
          <w:rFonts w:hint="eastAsia" w:ascii="宋体" w:hAnsi="宋体" w:eastAsia="宋体" w:cs="宋体"/>
          <w:spacing w:val="10"/>
          <w:sz w:val="24"/>
          <w:szCs w:val="24"/>
        </w:rPr>
        <w:t xml:space="preserve"> </w:t>
      </w:r>
      <w:r>
        <w:rPr>
          <w:rFonts w:hint="eastAsia" w:ascii="宋体" w:hAnsi="宋体" w:eastAsia="宋体" w:cs="宋体"/>
          <w:sz w:val="24"/>
          <w:szCs w:val="24"/>
        </w:rPr>
        <w:t>18487.1</w:t>
      </w:r>
      <w:r>
        <w:rPr>
          <w:rFonts w:hint="eastAsia" w:ascii="宋体" w:hAnsi="宋体" w:eastAsia="宋体" w:cs="宋体"/>
          <w:sz w:val="24"/>
          <w:szCs w:val="24"/>
        </w:rPr>
        <w:t>－</w:t>
      </w:r>
      <w:r>
        <w:rPr>
          <w:rFonts w:hint="eastAsia" w:ascii="宋体" w:hAnsi="宋体" w:eastAsia="宋体" w:cs="宋体"/>
          <w:sz w:val="24"/>
          <w:szCs w:val="24"/>
        </w:rPr>
        <w:t>2015</w:t>
      </w:r>
      <w:r>
        <w:rPr>
          <w:rFonts w:hint="eastAsia" w:ascii="宋体" w:hAnsi="宋体" w:eastAsia="宋体" w:cs="宋体"/>
          <w:spacing w:val="-62"/>
          <w:sz w:val="24"/>
          <w:szCs w:val="24"/>
        </w:rPr>
        <w:t xml:space="preserve"> </w:t>
      </w:r>
      <w:r>
        <w:rPr>
          <w:rFonts w:hint="eastAsia" w:ascii="宋体" w:hAnsi="宋体" w:eastAsia="宋体" w:cs="宋体"/>
          <w:sz w:val="24"/>
          <w:szCs w:val="24"/>
        </w:rPr>
        <w:t>中</w:t>
      </w:r>
      <w:r>
        <w:rPr>
          <w:rFonts w:hint="eastAsia" w:ascii="宋体" w:hAnsi="宋体" w:eastAsia="宋体" w:cs="宋体"/>
          <w:spacing w:val="-64"/>
          <w:sz w:val="24"/>
          <w:szCs w:val="24"/>
        </w:rPr>
        <w:t xml:space="preserve"> </w:t>
      </w:r>
      <w:r>
        <w:rPr>
          <w:rFonts w:hint="eastAsia" w:ascii="宋体" w:hAnsi="宋体" w:eastAsia="宋体" w:cs="宋体"/>
          <w:sz w:val="24"/>
          <w:szCs w:val="24"/>
        </w:rPr>
        <w:t>13</w:t>
      </w:r>
      <w:r>
        <w:rPr>
          <w:rFonts w:hint="eastAsia" w:ascii="宋体" w:hAnsi="宋体" w:eastAsia="宋体" w:cs="宋体"/>
          <w:spacing w:val="-65"/>
          <w:sz w:val="24"/>
          <w:szCs w:val="24"/>
        </w:rPr>
        <w:t xml:space="preserve"> </w:t>
      </w:r>
      <w:r>
        <w:rPr>
          <w:rFonts w:hint="eastAsia" w:ascii="宋体" w:hAnsi="宋体" w:eastAsia="宋体" w:cs="宋体"/>
          <w:sz w:val="24"/>
          <w:szCs w:val="24"/>
        </w:rPr>
        <w:t>条的要求。急停按钮外部加防护罩，只有破坏防护罩才能按下急停按钮，防止误操作和人为破坏，防护罩需采用亚克力等</w:t>
      </w:r>
      <w:r>
        <w:rPr>
          <w:rFonts w:hint="eastAsia" w:ascii="宋体" w:hAnsi="宋体" w:eastAsia="宋体" w:cs="宋体"/>
          <w:spacing w:val="-101"/>
          <w:sz w:val="24"/>
          <w:szCs w:val="24"/>
        </w:rPr>
        <w:t xml:space="preserve"> </w:t>
      </w:r>
      <w:r>
        <w:rPr>
          <w:rFonts w:hint="eastAsia" w:ascii="宋体" w:hAnsi="宋体" w:eastAsia="宋体" w:cs="宋体"/>
          <w:sz w:val="24"/>
          <w:szCs w:val="24"/>
        </w:rPr>
        <w:t>不宜老化材料。</w:t>
      </w:r>
    </w:p>
    <w:p w14:paraId="6044835F">
      <w:pPr>
        <w:pStyle w:val="2"/>
        <w:spacing w:line="360" w:lineRule="auto"/>
        <w:ind w:firstLine="480" w:firstLineChars="200"/>
        <w:rPr>
          <w:rFonts w:hint="eastAsia" w:ascii="宋体" w:hAnsi="宋体" w:eastAsia="宋体" w:cs="宋体"/>
          <w:szCs w:val="24"/>
        </w:rPr>
      </w:pPr>
      <w:r>
        <w:rPr>
          <w:rFonts w:hint="eastAsia" w:ascii="宋体" w:hAnsi="宋体" w:eastAsia="宋体" w:cs="宋体"/>
          <w:szCs w:val="24"/>
        </w:rPr>
        <w:t>急停装置还应满足充电机急停后，能有效保存设备断电前的状态和计量计费信息。</w:t>
      </w:r>
    </w:p>
    <w:p w14:paraId="5F18F1C0">
      <w:pPr>
        <w:keepNext w:val="0"/>
        <w:keepLines w:val="0"/>
        <w:pageBreakBefore w:val="0"/>
        <w:widowControl w:val="0"/>
        <w:kinsoku/>
        <w:wordWrap/>
        <w:overflowPunct/>
        <w:topLinePunct w:val="0"/>
        <w:autoSpaceDE/>
        <w:autoSpaceDN/>
        <w:bidi w:val="0"/>
        <w:adjustRightInd/>
        <w:snapToGrid/>
        <w:spacing w:line="274" w:lineRule="auto"/>
        <w:ind w:left="669" w:right="102" w:hanging="283"/>
        <w:textAlignment w:val="auto"/>
        <w:rPr>
          <w:rFonts w:hint="eastAsia" w:ascii="宋体" w:hAnsi="宋体" w:eastAsia="宋体" w:cs="宋体"/>
          <w:b/>
          <w:bCs/>
          <w:sz w:val="28"/>
          <w:szCs w:val="28"/>
        </w:rPr>
      </w:pPr>
      <w:r>
        <w:rPr>
          <w:rFonts w:hint="eastAsia" w:ascii="宋体" w:hAnsi="宋体" w:eastAsia="宋体" w:cs="宋体"/>
          <w:b/>
          <w:bCs/>
          <w:sz w:val="28"/>
          <w:szCs w:val="28"/>
        </w:rPr>
        <w:t xml:space="preserve">（7）保护功能 </w:t>
      </w:r>
    </w:p>
    <w:p w14:paraId="217EA132">
      <w:pPr>
        <w:pStyle w:val="2"/>
        <w:spacing w:line="360" w:lineRule="auto"/>
        <w:ind w:firstLine="480" w:firstLineChars="200"/>
        <w:rPr>
          <w:rFonts w:hint="eastAsia" w:ascii="宋体" w:hAnsi="宋体" w:eastAsia="宋体" w:cs="宋体"/>
        </w:rPr>
      </w:pPr>
      <w:r>
        <w:rPr>
          <w:rFonts w:hint="eastAsia" w:ascii="宋体" w:hAnsi="宋体" w:eastAsia="宋体" w:cs="宋体"/>
        </w:rPr>
        <w:t>（1）充电机应具备电源输入侧的过压保护、欠压保护。充电机应具备场站全量充电设备超配电变压器总功率保护功能。</w:t>
      </w:r>
    </w:p>
    <w:p w14:paraId="3A99C051">
      <w:pPr>
        <w:pStyle w:val="2"/>
        <w:spacing w:line="360" w:lineRule="auto"/>
        <w:ind w:firstLine="480" w:firstLineChars="200"/>
        <w:rPr>
          <w:rFonts w:hint="eastAsia" w:ascii="宋体" w:hAnsi="宋体" w:eastAsia="宋体" w:cs="宋体"/>
        </w:rPr>
      </w:pPr>
      <w:r>
        <w:rPr>
          <w:rFonts w:hint="eastAsia" w:ascii="宋体" w:hAnsi="宋体" w:eastAsia="宋体" w:cs="宋体"/>
        </w:rPr>
        <w:t>（2）充电机应具备输出过压保护。</w:t>
      </w:r>
    </w:p>
    <w:p w14:paraId="4CAE0A7A">
      <w:pPr>
        <w:pStyle w:val="2"/>
        <w:spacing w:line="360" w:lineRule="auto"/>
        <w:ind w:firstLine="480" w:firstLineChars="200"/>
        <w:rPr>
          <w:rFonts w:hint="eastAsia" w:ascii="宋体" w:hAnsi="宋体" w:eastAsia="宋体" w:cs="宋体"/>
        </w:rPr>
      </w:pPr>
      <w:r>
        <w:rPr>
          <w:rFonts w:hint="eastAsia" w:ascii="宋体" w:hAnsi="宋体" w:eastAsia="宋体" w:cs="宋体"/>
        </w:rPr>
        <w:t>（3）充电机应能够提供车辆侧供电回路及电缆的短路电流保护，短路保护设 备的 I2t 值不应超过 500000 A2s。</w:t>
      </w:r>
    </w:p>
    <w:p w14:paraId="496661A4">
      <w:pPr>
        <w:pStyle w:val="2"/>
        <w:spacing w:line="360" w:lineRule="auto"/>
        <w:ind w:firstLine="480" w:firstLineChars="200"/>
        <w:rPr>
          <w:rFonts w:hint="eastAsia" w:ascii="宋体" w:hAnsi="宋体" w:eastAsia="宋体" w:cs="宋体"/>
        </w:rPr>
      </w:pPr>
      <w:r>
        <w:rPr>
          <w:rFonts w:hint="eastAsia" w:ascii="宋体" w:hAnsi="宋体" w:eastAsia="宋体" w:cs="宋体"/>
        </w:rPr>
        <w:t>（4）充电机应具备过温保护，当内部温度达到保护阈值时，采取降功率或停止输出。</w:t>
      </w:r>
    </w:p>
    <w:p w14:paraId="77437492">
      <w:pPr>
        <w:pStyle w:val="2"/>
        <w:spacing w:line="360" w:lineRule="auto"/>
        <w:ind w:firstLine="480" w:firstLineChars="200"/>
        <w:rPr>
          <w:rFonts w:hint="eastAsia" w:ascii="宋体" w:hAnsi="宋体" w:eastAsia="宋体" w:cs="宋体"/>
        </w:rPr>
      </w:pPr>
      <w:r>
        <w:rPr>
          <w:rFonts w:hint="eastAsia" w:ascii="宋体" w:hAnsi="宋体" w:eastAsia="宋体" w:cs="宋体"/>
        </w:rPr>
        <w:t>（5）充电机应具备开门保护，当充电机门打开造成带电部分露出时，一体式充电机应同时切断动力电源输入和直流输出；</w:t>
      </w:r>
    </w:p>
    <w:p w14:paraId="7AF38F27">
      <w:pPr>
        <w:pStyle w:val="2"/>
        <w:spacing w:line="360" w:lineRule="auto"/>
        <w:ind w:firstLine="480" w:firstLineChars="200"/>
        <w:rPr>
          <w:rFonts w:hint="eastAsia" w:ascii="宋体" w:hAnsi="宋体" w:eastAsia="宋体" w:cs="宋体"/>
        </w:rPr>
      </w:pPr>
      <w:r>
        <w:rPr>
          <w:rFonts w:hint="eastAsia" w:ascii="宋体" w:hAnsi="宋体" w:eastAsia="宋体" w:cs="宋体"/>
        </w:rPr>
        <w:t>（6）充电过程中当发生下列情况时，充电机应能在 100 ms 内断开直流输出：</w:t>
      </w:r>
    </w:p>
    <w:p w14:paraId="57B5BBDD">
      <w:pPr>
        <w:pStyle w:val="2"/>
        <w:spacing w:line="360" w:lineRule="auto"/>
        <w:ind w:firstLine="480" w:firstLineChars="200"/>
        <w:rPr>
          <w:rFonts w:hint="eastAsia" w:ascii="宋体" w:hAnsi="宋体" w:eastAsia="宋体" w:cs="宋体"/>
        </w:rPr>
      </w:pPr>
      <w:r>
        <w:rPr>
          <w:rFonts w:hint="eastAsia" w:ascii="宋体" w:hAnsi="宋体" w:eastAsia="宋体" w:cs="宋体"/>
        </w:rPr>
        <w:t>——充电机启动急停装置；</w:t>
      </w:r>
    </w:p>
    <w:p w14:paraId="32B82ED2">
      <w:pPr>
        <w:pStyle w:val="2"/>
        <w:spacing w:line="360" w:lineRule="auto"/>
        <w:ind w:firstLine="480" w:firstLineChars="200"/>
        <w:rPr>
          <w:rFonts w:hint="eastAsia" w:ascii="宋体" w:hAnsi="宋体" w:eastAsia="宋体" w:cs="宋体"/>
        </w:rPr>
      </w:pPr>
      <w:r>
        <w:rPr>
          <w:rFonts w:hint="eastAsia" w:ascii="宋体" w:hAnsi="宋体" w:eastAsia="宋体" w:cs="宋体"/>
        </w:rPr>
        <w:t>——充电机与电动汽车间的保护接地线断开；</w:t>
      </w:r>
    </w:p>
    <w:p w14:paraId="25B1A0D9">
      <w:pPr>
        <w:pStyle w:val="2"/>
        <w:spacing w:line="360" w:lineRule="auto"/>
        <w:ind w:firstLine="480" w:firstLineChars="200"/>
        <w:rPr>
          <w:rFonts w:hint="eastAsia" w:ascii="宋体" w:hAnsi="宋体" w:eastAsia="宋体" w:cs="宋体"/>
        </w:rPr>
      </w:pPr>
      <w:r>
        <w:rPr>
          <w:rFonts w:hint="eastAsia" w:ascii="宋体" w:hAnsi="宋体" w:eastAsia="宋体" w:cs="宋体"/>
        </w:rPr>
        <w:t>——充电机与电动汽车间的连接检测信号线断开。</w:t>
      </w:r>
    </w:p>
    <w:p w14:paraId="4806D992">
      <w:pPr>
        <w:pStyle w:val="2"/>
        <w:spacing w:line="360" w:lineRule="auto"/>
        <w:ind w:firstLine="480" w:firstLineChars="200"/>
        <w:rPr>
          <w:rFonts w:hint="eastAsia" w:ascii="宋体" w:hAnsi="宋体" w:eastAsia="宋体" w:cs="宋体"/>
        </w:rPr>
      </w:pPr>
      <w:r>
        <w:rPr>
          <w:rFonts w:hint="eastAsia" w:ascii="宋体" w:hAnsi="宋体" w:eastAsia="宋体" w:cs="宋体"/>
        </w:rPr>
        <w:t>（7）充电机应具备限制输入电流过冲的能力，开机或启动充电时产生的输入电流过冲不应大于额定输入电流峰值的 10％。</w:t>
      </w:r>
    </w:p>
    <w:p w14:paraId="02B14A70">
      <w:pPr>
        <w:pStyle w:val="2"/>
        <w:spacing w:line="360" w:lineRule="auto"/>
        <w:ind w:firstLine="480" w:firstLineChars="200"/>
        <w:rPr>
          <w:rFonts w:hint="eastAsia" w:ascii="宋体" w:hAnsi="宋体" w:eastAsia="宋体" w:cs="宋体"/>
        </w:rPr>
      </w:pPr>
      <w:r>
        <w:rPr>
          <w:rFonts w:hint="eastAsia" w:ascii="宋体" w:hAnsi="宋体" w:eastAsia="宋体" w:cs="宋体"/>
        </w:rPr>
        <w:t>（8）充电机直流输出接触器接通时，或者动态功率分配充电模块接入时，发生的 车辆到充电设备或充电设备到车辆的冲击电流（峰值）应控制在 20 A 以下。</w:t>
      </w:r>
    </w:p>
    <w:p w14:paraId="31CEC763">
      <w:pPr>
        <w:pStyle w:val="2"/>
        <w:spacing w:line="360" w:lineRule="auto"/>
        <w:ind w:firstLine="480" w:firstLineChars="200"/>
        <w:rPr>
          <w:rFonts w:hint="eastAsia" w:ascii="宋体" w:hAnsi="宋体" w:eastAsia="宋体" w:cs="宋体"/>
        </w:rPr>
      </w:pPr>
      <w:r>
        <w:rPr>
          <w:rFonts w:hint="eastAsia" w:ascii="宋体" w:hAnsi="宋体" w:eastAsia="宋体" w:cs="宋体"/>
        </w:rPr>
        <w:t>（9）在启动充电阶段车辆侧接触器闭合后，充电机应对车辆电池电压进行检测，当出现下列情况时，充电机应停止启动过程，并发出告警信息：</w:t>
      </w:r>
    </w:p>
    <w:p w14:paraId="73CD4501">
      <w:pPr>
        <w:pStyle w:val="2"/>
        <w:spacing w:line="360" w:lineRule="auto"/>
        <w:ind w:firstLine="480" w:firstLineChars="200"/>
        <w:rPr>
          <w:rFonts w:hint="eastAsia" w:ascii="宋体" w:hAnsi="宋体" w:eastAsia="宋体" w:cs="宋体"/>
        </w:rPr>
      </w:pPr>
      <w:r>
        <w:rPr>
          <w:rFonts w:hint="eastAsia" w:ascii="宋体" w:hAnsi="宋体" w:eastAsia="宋体" w:cs="宋体"/>
        </w:rPr>
        <w:t>——蓄电池反接；</w:t>
      </w:r>
    </w:p>
    <w:p w14:paraId="02E8F5F7">
      <w:pPr>
        <w:pStyle w:val="2"/>
        <w:spacing w:line="360" w:lineRule="auto"/>
        <w:ind w:firstLine="480" w:firstLineChars="200"/>
        <w:rPr>
          <w:rFonts w:hint="eastAsia" w:ascii="宋体" w:hAnsi="宋体" w:eastAsia="宋体" w:cs="宋体"/>
        </w:rPr>
      </w:pPr>
      <w:r>
        <w:rPr>
          <w:rFonts w:hint="eastAsia" w:ascii="宋体" w:hAnsi="宋体" w:eastAsia="宋体" w:cs="宋体"/>
        </w:rPr>
        <w:t>——检测电压与通信报文电池电压之差的绝对值大于通信报文电池电压的 5 ％；</w:t>
      </w:r>
    </w:p>
    <w:p w14:paraId="4AA22536">
      <w:pPr>
        <w:pStyle w:val="2"/>
        <w:spacing w:line="360" w:lineRule="auto"/>
        <w:ind w:firstLine="480" w:firstLineChars="200"/>
        <w:rPr>
          <w:rFonts w:hint="eastAsia" w:ascii="宋体" w:hAnsi="宋体" w:eastAsia="宋体" w:cs="宋体"/>
        </w:rPr>
      </w:pPr>
      <w:r>
        <w:rPr>
          <w:rFonts w:hint="eastAsia" w:ascii="宋体" w:hAnsi="宋体" w:eastAsia="宋体" w:cs="宋体"/>
        </w:rPr>
        <w:t>——检测电压小于充电机的最低输出电压或大于充电机的额定输出电压。</w:t>
      </w:r>
    </w:p>
    <w:p w14:paraId="03640A96">
      <w:pPr>
        <w:pStyle w:val="2"/>
        <w:spacing w:line="360" w:lineRule="auto"/>
        <w:ind w:firstLine="480" w:firstLineChars="200"/>
        <w:rPr>
          <w:rFonts w:hint="eastAsia" w:ascii="宋体" w:hAnsi="宋体" w:eastAsia="宋体" w:cs="宋体"/>
        </w:rPr>
      </w:pPr>
      <w:r>
        <w:rPr>
          <w:rFonts w:hint="eastAsia" w:ascii="宋体" w:hAnsi="宋体" w:eastAsia="宋体" w:cs="宋体"/>
        </w:rPr>
        <w:t>（10）充电机应具备对电动汽车动力蓄电池二重保护功能，在充电过程中，当检测到输出电压大于车辆最高允许充电总电压，或电流响应结束后检测到输 出电流大于车辆当前需求电流的 110 ％（当前需求电流值大于等于 30 A 时）或大于车辆当前需求电流+3 A（当前需求电流值小于 30 A 时），充电机应 在 1 s 内断开直流输出，并发出告警信息。</w:t>
      </w:r>
    </w:p>
    <w:p w14:paraId="0951DAAA">
      <w:pPr>
        <w:pStyle w:val="2"/>
        <w:spacing w:line="360" w:lineRule="auto"/>
        <w:ind w:firstLine="480" w:firstLineChars="200"/>
        <w:rPr>
          <w:rFonts w:hint="eastAsia" w:ascii="宋体" w:hAnsi="宋体" w:eastAsia="宋体" w:cs="宋体"/>
        </w:rPr>
      </w:pPr>
      <w:r>
        <w:rPr>
          <w:rFonts w:hint="eastAsia" w:ascii="宋体" w:hAnsi="宋体" w:eastAsia="宋体" w:cs="宋体"/>
        </w:rPr>
        <w:t>（11）充电机充电回路应具备防逆流功能（如输出加二极管等），防止蓄电池电 流倒灌。</w:t>
      </w:r>
    </w:p>
    <w:p w14:paraId="144FCFDF">
      <w:pPr>
        <w:pStyle w:val="2"/>
        <w:spacing w:line="360" w:lineRule="auto"/>
        <w:ind w:firstLine="480" w:firstLineChars="200"/>
        <w:rPr>
          <w:rFonts w:hint="eastAsia" w:ascii="宋体" w:hAnsi="宋体" w:eastAsia="宋体" w:cs="宋体"/>
        </w:rPr>
      </w:pPr>
      <w:r>
        <w:rPr>
          <w:rFonts w:hint="eastAsia" w:ascii="宋体" w:hAnsi="宋体" w:eastAsia="宋体" w:cs="宋体"/>
        </w:rPr>
        <w:t>（12）充电机应在启动充电前进行供电回路直流接触器触点粘连检测，也可以在直流接触器断开后进行触点粘连检测。当检测到任何一个直流接触器的主 触点出现粘连情况时，充电机不应启动充电，并发出告警信息。充电机在充电过程中，当检测到与电动汽车 BMS 或车辆控制器发生通信中断 时，充电机应停止充电，并发出告警信息。</w:t>
      </w:r>
    </w:p>
    <w:p w14:paraId="7A779623">
      <w:pPr>
        <w:pStyle w:val="2"/>
        <w:spacing w:line="360" w:lineRule="auto"/>
        <w:ind w:firstLine="480" w:firstLineChars="200"/>
        <w:rPr>
          <w:rFonts w:hint="eastAsia" w:ascii="宋体" w:hAnsi="宋体" w:eastAsia="宋体" w:cs="宋体"/>
        </w:rPr>
      </w:pPr>
      <w:r>
        <w:rPr>
          <w:rFonts w:hint="eastAsia" w:ascii="宋体" w:hAnsi="宋体" w:eastAsia="宋体" w:cs="宋体"/>
        </w:rPr>
        <w:t>（13）充电机应在充电握手阶段判断电池管理系统报文中的最高允许充电总电 压值，当检测到该值小于充电机最低输出电压时，应停止绝缘监测进程，并 发出告警信息。</w:t>
      </w:r>
    </w:p>
    <w:p w14:paraId="050E5B5B">
      <w:pPr>
        <w:pStyle w:val="2"/>
        <w:spacing w:line="360" w:lineRule="auto"/>
        <w:ind w:firstLine="480" w:firstLineChars="200"/>
        <w:rPr>
          <w:rFonts w:hint="eastAsia" w:ascii="宋体" w:hAnsi="宋体" w:eastAsia="宋体" w:cs="宋体"/>
        </w:rPr>
      </w:pPr>
      <w:r>
        <w:rPr>
          <w:rFonts w:hint="eastAsia" w:ascii="宋体" w:hAnsi="宋体" w:eastAsia="宋体" w:cs="宋体"/>
        </w:rPr>
        <w:t>（14）充电机应在充电阶段实时判断电池管理系统报文中的电压需求和电流需 求值，当检测到该值大于车辆最高允许充电总电压或最高允许充电电流时， 充电机应停止充电，并发出告警信息。</w:t>
      </w:r>
    </w:p>
    <w:p w14:paraId="256A1107">
      <w:pPr>
        <w:pStyle w:val="2"/>
        <w:spacing w:line="360" w:lineRule="auto"/>
        <w:ind w:firstLine="480" w:firstLineChars="200"/>
        <w:rPr>
          <w:rFonts w:hint="eastAsia" w:ascii="宋体" w:hAnsi="宋体" w:eastAsia="宋体" w:cs="宋体"/>
        </w:rPr>
      </w:pPr>
      <w:r>
        <w:rPr>
          <w:rFonts w:hint="eastAsia" w:ascii="宋体" w:hAnsi="宋体" w:eastAsia="宋体" w:cs="宋体"/>
        </w:rPr>
        <w:t>（15）充电机的雷电防护应符合 GB/T 18487.1－2015 中 12.6 条的规定。</w:t>
      </w:r>
    </w:p>
    <w:p w14:paraId="4BA9C1E0">
      <w:pPr>
        <w:pStyle w:val="2"/>
        <w:spacing w:line="360" w:lineRule="auto"/>
        <w:ind w:firstLine="480" w:firstLineChars="200"/>
        <w:rPr>
          <w:rFonts w:hint="eastAsia" w:ascii="宋体" w:hAnsi="宋体" w:eastAsia="宋体" w:cs="宋体"/>
        </w:rPr>
      </w:pPr>
      <w:r>
        <w:rPr>
          <w:rFonts w:hint="eastAsia" w:ascii="宋体" w:hAnsi="宋体" w:eastAsia="宋体" w:cs="宋体"/>
        </w:rPr>
        <w:t>（16）充电机在充电过程中，应能判断电池管理系统传递的数据(当前荷电状态电池总电压/电池充电电流/单体电池最大电压/单体电池最高温度)，当这些数据维持不变超过可设定的时间(触摸屏可设置或者通过手机 APP 设置)，充电机应停止充电。</w:t>
      </w:r>
    </w:p>
    <w:p w14:paraId="32ABBE36">
      <w:pPr>
        <w:pStyle w:val="2"/>
        <w:spacing w:line="360" w:lineRule="auto"/>
        <w:ind w:firstLine="480" w:firstLineChars="200"/>
        <w:rPr>
          <w:rFonts w:hint="eastAsia" w:ascii="宋体" w:hAnsi="宋体" w:eastAsia="宋体" w:cs="宋体"/>
        </w:rPr>
      </w:pPr>
      <w:r>
        <w:rPr>
          <w:rFonts w:hint="eastAsia" w:ascii="宋体" w:hAnsi="宋体" w:eastAsia="宋体" w:cs="宋体"/>
        </w:rPr>
        <w:t>(17)充电机在充电过程中，判断电池管理系统 BSM 报文“最高动力蓄电池温度”高于 BCP 报文最高允许温度"持续 1s 或者 BMT 报文动力蓄电池温度"高于 BCP 报文最高允许温度”持续 1s，充电机应停止充电。</w:t>
      </w:r>
    </w:p>
    <w:p w14:paraId="6A3091A1">
      <w:pPr>
        <w:pStyle w:val="2"/>
        <w:spacing w:line="360" w:lineRule="auto"/>
        <w:ind w:firstLine="480" w:firstLineChars="200"/>
        <w:rPr>
          <w:rFonts w:hint="eastAsia" w:ascii="宋体" w:hAnsi="宋体" w:eastAsia="宋体" w:cs="宋体"/>
        </w:rPr>
      </w:pPr>
      <w:r>
        <w:rPr>
          <w:rFonts w:hint="eastAsia" w:ascii="宋体" w:hAnsi="宋体" w:eastAsia="宋体" w:cs="宋体"/>
        </w:rPr>
        <w:t>(18)充电机在充电过程中，判断电池管理系统 BCS 报文“最高单体动力蓄电池中压"高于 BCP 报文“单体动力蓄电池最高允许充电电压"持续 1s 或者 BMV 报文“单体动力蓄电池电压"高于 BCP 报文“单体动力蓄电池最高允许充电电压"持续 1s，充电机应停止充电。</w:t>
      </w:r>
    </w:p>
    <w:p w14:paraId="0DA88974">
      <w:pPr>
        <w:keepNext w:val="0"/>
        <w:keepLines w:val="0"/>
        <w:pageBreakBefore w:val="0"/>
        <w:widowControl w:val="0"/>
        <w:kinsoku/>
        <w:wordWrap/>
        <w:overflowPunct/>
        <w:topLinePunct w:val="0"/>
        <w:autoSpaceDE/>
        <w:autoSpaceDN/>
        <w:bidi w:val="0"/>
        <w:adjustRightInd/>
        <w:snapToGrid/>
        <w:spacing w:line="274" w:lineRule="auto"/>
        <w:ind w:left="669" w:right="102" w:hanging="283"/>
        <w:textAlignment w:val="auto"/>
        <w:rPr>
          <w:rFonts w:hint="eastAsia" w:ascii="宋体" w:hAnsi="宋体" w:eastAsia="宋体" w:cs="宋体"/>
          <w:b/>
          <w:bCs/>
          <w:sz w:val="28"/>
          <w:szCs w:val="28"/>
        </w:rPr>
      </w:pPr>
      <w:r>
        <w:rPr>
          <w:rFonts w:hint="eastAsia" w:ascii="宋体" w:hAnsi="宋体" w:eastAsia="宋体" w:cs="宋体"/>
          <w:b/>
          <w:bCs/>
          <w:sz w:val="28"/>
          <w:szCs w:val="28"/>
        </w:rPr>
        <w:t>（8）防护等级</w:t>
      </w:r>
    </w:p>
    <w:p w14:paraId="2B9941DD">
      <w:pPr>
        <w:pStyle w:val="2"/>
        <w:spacing w:line="360" w:lineRule="auto"/>
        <w:ind w:firstLine="480" w:firstLineChars="200"/>
        <w:rPr>
          <w:rFonts w:hint="eastAsia" w:ascii="宋体" w:hAnsi="宋体" w:eastAsia="宋体" w:cs="宋体"/>
        </w:rPr>
      </w:pPr>
      <w:r>
        <w:rPr>
          <w:rFonts w:hint="eastAsia" w:ascii="宋体" w:hAnsi="宋体" w:eastAsia="宋体" w:cs="宋体"/>
        </w:rPr>
        <w:t>充电机外壳防护等级不应低于 GB/T 4208-2017 中下列的规定：</w:t>
      </w:r>
    </w:p>
    <w:p w14:paraId="21D07A62">
      <w:pPr>
        <w:pStyle w:val="2"/>
        <w:spacing w:line="360" w:lineRule="auto"/>
        <w:ind w:firstLine="480" w:firstLineChars="200"/>
        <w:rPr>
          <w:rFonts w:hint="eastAsia" w:ascii="宋体" w:hAnsi="宋体" w:eastAsia="宋体" w:cs="宋体"/>
        </w:rPr>
      </w:pPr>
      <w:r>
        <w:rPr>
          <w:rFonts w:hint="eastAsia" w:ascii="宋体" w:hAnsi="宋体" w:eastAsia="宋体" w:cs="宋体"/>
        </w:rPr>
        <w:t>a.IP54（室外使用）；</w:t>
      </w:r>
    </w:p>
    <w:p w14:paraId="3AF5132E">
      <w:pPr>
        <w:pStyle w:val="2"/>
        <w:spacing w:line="360" w:lineRule="auto"/>
        <w:ind w:firstLine="480" w:firstLineChars="200"/>
        <w:rPr>
          <w:rFonts w:hint="eastAsia" w:ascii="宋体" w:hAnsi="宋体" w:eastAsia="宋体" w:cs="宋体"/>
        </w:rPr>
      </w:pPr>
      <w:r>
        <w:rPr>
          <w:rFonts w:hint="eastAsia" w:ascii="宋体" w:hAnsi="宋体" w:eastAsia="宋体" w:cs="宋体"/>
        </w:rPr>
        <w:t xml:space="preserve">b.IP32（室内使用）； </w:t>
      </w:r>
    </w:p>
    <w:p w14:paraId="70157371">
      <w:pPr>
        <w:keepNext w:val="0"/>
        <w:keepLines w:val="0"/>
        <w:pageBreakBefore w:val="0"/>
        <w:widowControl w:val="0"/>
        <w:kinsoku/>
        <w:wordWrap/>
        <w:overflowPunct/>
        <w:topLinePunct w:val="0"/>
        <w:autoSpaceDE/>
        <w:autoSpaceDN/>
        <w:bidi w:val="0"/>
        <w:adjustRightInd/>
        <w:snapToGrid/>
        <w:spacing w:line="274" w:lineRule="auto"/>
        <w:ind w:left="669" w:right="102" w:hanging="283"/>
        <w:textAlignment w:val="auto"/>
        <w:rPr>
          <w:rFonts w:hint="eastAsia" w:ascii="宋体" w:hAnsi="宋体" w:eastAsia="宋体" w:cs="宋体"/>
          <w:b/>
          <w:bCs/>
          <w:sz w:val="28"/>
          <w:szCs w:val="28"/>
        </w:rPr>
      </w:pPr>
      <w:r>
        <w:rPr>
          <w:rFonts w:hint="eastAsia" w:ascii="宋体" w:hAnsi="宋体" w:eastAsia="宋体" w:cs="宋体"/>
          <w:b/>
          <w:bCs/>
          <w:sz w:val="28"/>
          <w:szCs w:val="28"/>
        </w:rPr>
        <w:t xml:space="preserve">（9）三防（防潮湿，防霉变，防盐雾）保护 </w:t>
      </w:r>
    </w:p>
    <w:p w14:paraId="1095C0FC">
      <w:pPr>
        <w:pStyle w:val="2"/>
        <w:spacing w:line="360" w:lineRule="auto"/>
        <w:ind w:firstLine="480" w:firstLineChars="200"/>
        <w:rPr>
          <w:rFonts w:hint="eastAsia" w:ascii="宋体" w:hAnsi="宋体" w:eastAsia="宋体" w:cs="宋体"/>
        </w:rPr>
      </w:pPr>
      <w:r>
        <w:rPr>
          <w:rFonts w:hint="eastAsia" w:ascii="宋体" w:hAnsi="宋体" w:eastAsia="宋体" w:cs="宋体"/>
        </w:rPr>
        <w:t>充电机内印刷线路板、接插件等部件应进行防潮湿、防霉变、防盐雾处理。其中防霉变腐蚀试验应按照 GB/T 2423.16－2008 中规定的试验方法 1， 长霉程度等级不低于标准中要求的 2a；其中防盐雾腐蚀试验应按照 GB/T 2423.17－2008 中第 6 章规定的试验方法，试验时间 48 h，试验后在 15 ℃～40 ℃流水中用柔软的刷子清洗 7 分钟，干燥 1 小时，产品应无赤/青锈、没 有出现涂装掉落现象、涂装无鼓起。</w:t>
      </w:r>
    </w:p>
    <w:p w14:paraId="76DBDA5B">
      <w:pPr>
        <w:keepNext w:val="0"/>
        <w:keepLines w:val="0"/>
        <w:pageBreakBefore w:val="0"/>
        <w:widowControl w:val="0"/>
        <w:kinsoku/>
        <w:wordWrap/>
        <w:overflowPunct/>
        <w:topLinePunct w:val="0"/>
        <w:autoSpaceDE/>
        <w:autoSpaceDN/>
        <w:bidi w:val="0"/>
        <w:adjustRightInd/>
        <w:snapToGrid/>
        <w:spacing w:line="274" w:lineRule="auto"/>
        <w:ind w:left="669" w:right="102" w:hanging="283"/>
        <w:textAlignment w:val="auto"/>
        <w:rPr>
          <w:rFonts w:hint="eastAsia" w:ascii="宋体" w:hAnsi="宋体" w:eastAsia="宋体" w:cs="宋体"/>
          <w:b/>
          <w:bCs/>
          <w:sz w:val="28"/>
          <w:szCs w:val="28"/>
        </w:rPr>
      </w:pPr>
      <w:r>
        <w:rPr>
          <w:rFonts w:hint="eastAsia" w:ascii="宋体" w:hAnsi="宋体" w:eastAsia="宋体" w:cs="宋体"/>
          <w:b/>
          <w:bCs/>
          <w:sz w:val="28"/>
          <w:szCs w:val="28"/>
        </w:rPr>
        <w:t xml:space="preserve">（10）防锈(防氧化)保护 </w:t>
      </w:r>
    </w:p>
    <w:p w14:paraId="5740B3A9">
      <w:pPr>
        <w:spacing w:before="11" w:line="360" w:lineRule="auto"/>
        <w:ind w:left="210" w:leftChars="100" w:firstLine="480" w:firstLineChars="200"/>
        <w:rPr>
          <w:rFonts w:hint="eastAsia" w:ascii="宋体" w:hAnsi="宋体" w:eastAsia="宋体" w:cs="宋体"/>
          <w:kern w:val="0"/>
          <w:sz w:val="24"/>
          <w:szCs w:val="20"/>
          <w:lang w:val="en-US" w:eastAsia="zh-CN" w:bidi="ar-SA"/>
        </w:rPr>
      </w:pPr>
      <w:r>
        <w:rPr>
          <w:rFonts w:hint="eastAsia" w:ascii="宋体" w:hAnsi="宋体" w:eastAsia="宋体" w:cs="宋体"/>
          <w:kern w:val="0"/>
          <w:sz w:val="24"/>
          <w:szCs w:val="20"/>
          <w:lang w:val="en-US" w:eastAsia="zh-CN" w:bidi="ar-SA"/>
        </w:rPr>
        <w:t>充电机铁质外壳和暴露的铁质支架、零件及充电机内金属质部件应采用双层防锈措施，非铁质的金属外壳也应具有防氧化保护膜或进行防氧化处理。</w:t>
      </w:r>
    </w:p>
    <w:p w14:paraId="5F4BB182">
      <w:pPr>
        <w:keepNext w:val="0"/>
        <w:keepLines w:val="0"/>
        <w:pageBreakBefore w:val="0"/>
        <w:widowControl w:val="0"/>
        <w:kinsoku/>
        <w:wordWrap/>
        <w:overflowPunct/>
        <w:topLinePunct w:val="0"/>
        <w:autoSpaceDE/>
        <w:autoSpaceDN/>
        <w:bidi w:val="0"/>
        <w:adjustRightInd/>
        <w:snapToGrid/>
        <w:spacing w:line="274" w:lineRule="auto"/>
        <w:ind w:left="669" w:right="102" w:hanging="283"/>
        <w:textAlignment w:val="auto"/>
        <w:rPr>
          <w:rFonts w:hint="eastAsia" w:ascii="宋体" w:hAnsi="宋体" w:eastAsia="宋体" w:cs="宋体"/>
          <w:b/>
          <w:bCs/>
          <w:sz w:val="28"/>
          <w:szCs w:val="28"/>
        </w:rPr>
      </w:pPr>
      <w:r>
        <w:rPr>
          <w:rFonts w:hint="eastAsia" w:ascii="宋体" w:hAnsi="宋体" w:eastAsia="宋体" w:cs="宋体"/>
          <w:b/>
          <w:bCs/>
          <w:sz w:val="28"/>
          <w:szCs w:val="28"/>
        </w:rPr>
        <w:t>（11）电击防护</w:t>
      </w:r>
    </w:p>
    <w:p w14:paraId="67CD023E">
      <w:pPr>
        <w:spacing w:before="11" w:line="360" w:lineRule="auto"/>
        <w:ind w:left="210" w:leftChars="100" w:firstLine="480" w:firstLineChars="200"/>
        <w:rPr>
          <w:rFonts w:hint="eastAsia" w:ascii="宋体" w:hAnsi="宋体" w:eastAsia="宋体" w:cs="宋体"/>
          <w:kern w:val="0"/>
          <w:sz w:val="24"/>
          <w:szCs w:val="20"/>
          <w:lang w:val="en-US" w:eastAsia="zh-CN" w:bidi="ar-SA"/>
        </w:rPr>
      </w:pPr>
      <w:r>
        <w:rPr>
          <w:rFonts w:hint="eastAsia" w:ascii="宋体" w:hAnsi="宋体" w:eastAsia="宋体" w:cs="宋体"/>
          <w:kern w:val="0"/>
          <w:sz w:val="24"/>
          <w:szCs w:val="20"/>
          <w:lang w:val="en-US" w:eastAsia="zh-CN" w:bidi="ar-SA"/>
        </w:rPr>
        <w:t>充电机的电击防护应符合 GB/T 18487.1-2015 中第 7 章的要求。充电机的电气间隙和爬电距离应符合 GB/T 18487.1－2015 中 10.4 条的规定。</w:t>
      </w:r>
    </w:p>
    <w:p w14:paraId="21A37068">
      <w:pPr>
        <w:keepNext w:val="0"/>
        <w:keepLines w:val="0"/>
        <w:pageBreakBefore w:val="0"/>
        <w:widowControl w:val="0"/>
        <w:kinsoku/>
        <w:wordWrap/>
        <w:overflowPunct/>
        <w:topLinePunct w:val="0"/>
        <w:autoSpaceDE/>
        <w:autoSpaceDN/>
        <w:bidi w:val="0"/>
        <w:adjustRightInd/>
        <w:snapToGrid/>
        <w:spacing w:line="274" w:lineRule="auto"/>
        <w:ind w:left="669" w:right="102" w:hanging="283"/>
        <w:textAlignment w:val="auto"/>
        <w:rPr>
          <w:rFonts w:hint="eastAsia" w:ascii="宋体" w:hAnsi="宋体" w:eastAsia="宋体" w:cs="宋体"/>
          <w:b/>
          <w:bCs/>
          <w:sz w:val="28"/>
          <w:szCs w:val="28"/>
        </w:rPr>
      </w:pPr>
      <w:r>
        <w:rPr>
          <w:rFonts w:hint="eastAsia" w:ascii="宋体" w:hAnsi="宋体" w:eastAsia="宋体" w:cs="宋体"/>
          <w:b/>
          <w:bCs/>
          <w:sz w:val="28"/>
          <w:szCs w:val="28"/>
        </w:rPr>
        <w:t>（12）高低温和湿热性能</w:t>
      </w:r>
    </w:p>
    <w:p w14:paraId="1CC4CFBE">
      <w:pPr>
        <w:spacing w:before="11" w:line="360" w:lineRule="auto"/>
        <w:ind w:left="210" w:leftChars="100" w:firstLine="480" w:firstLineChars="200"/>
        <w:rPr>
          <w:rFonts w:hint="eastAsia" w:ascii="宋体" w:hAnsi="宋体" w:eastAsia="宋体" w:cs="宋体"/>
          <w:kern w:val="0"/>
          <w:sz w:val="24"/>
          <w:szCs w:val="20"/>
          <w:lang w:val="en-US" w:eastAsia="zh-CN" w:bidi="ar-SA"/>
        </w:rPr>
      </w:pPr>
      <w:r>
        <w:rPr>
          <w:rFonts w:hint="eastAsia" w:ascii="宋体" w:hAnsi="宋体" w:eastAsia="宋体" w:cs="宋体"/>
          <w:kern w:val="0"/>
          <w:sz w:val="24"/>
          <w:szCs w:val="20"/>
          <w:lang w:val="en-US" w:eastAsia="zh-CN" w:bidi="ar-SA"/>
        </w:rPr>
        <w:t>低温性能应满足 GB/T 2423.1-2008 中试验 Ad 规定的要求，试验温度为 7.1.1 规定的下限值，待达到试验温度 2 小时后开机，充电机应能正常启动。试验温度持续工作 2 小时后，测试充电机的稳流精度应符合 7.7.4 的规定。试验前、试验期间、试验后，充电机应能正常工作。</w:t>
      </w:r>
    </w:p>
    <w:p w14:paraId="6A65EB5E">
      <w:pPr>
        <w:spacing w:before="11" w:line="360" w:lineRule="auto"/>
        <w:ind w:left="210" w:leftChars="100" w:firstLine="480" w:firstLineChars="200"/>
        <w:rPr>
          <w:rFonts w:hint="eastAsia" w:ascii="宋体" w:hAnsi="宋体" w:eastAsia="宋体" w:cs="宋体"/>
          <w:kern w:val="0"/>
          <w:sz w:val="24"/>
          <w:szCs w:val="20"/>
          <w:lang w:val="en-US" w:eastAsia="zh-CN" w:bidi="ar-SA"/>
        </w:rPr>
      </w:pPr>
      <w:r>
        <w:rPr>
          <w:rFonts w:hint="eastAsia" w:ascii="宋体" w:hAnsi="宋体" w:eastAsia="宋体" w:cs="宋体"/>
          <w:kern w:val="0"/>
          <w:sz w:val="24"/>
          <w:szCs w:val="20"/>
          <w:lang w:val="en-US" w:eastAsia="zh-CN" w:bidi="ar-SA"/>
        </w:rPr>
        <w:t>注：正常工作是指充电机的充电、通信、显示及各项保护功能都应正常，不允许有功能丧失，下同。</w:t>
      </w:r>
    </w:p>
    <w:p w14:paraId="0F03464E">
      <w:pPr>
        <w:spacing w:before="11" w:line="360" w:lineRule="auto"/>
        <w:ind w:left="210" w:leftChars="100" w:firstLine="480" w:firstLineChars="200"/>
        <w:rPr>
          <w:rFonts w:hint="eastAsia" w:ascii="宋体" w:hAnsi="宋体" w:eastAsia="宋体" w:cs="宋体"/>
          <w:kern w:val="0"/>
          <w:sz w:val="24"/>
          <w:szCs w:val="20"/>
          <w:lang w:val="en-US" w:eastAsia="zh-CN" w:bidi="ar-SA"/>
        </w:rPr>
      </w:pPr>
      <w:r>
        <w:rPr>
          <w:rFonts w:hint="eastAsia" w:ascii="宋体" w:hAnsi="宋体" w:eastAsia="宋体" w:cs="宋体"/>
          <w:kern w:val="0"/>
          <w:sz w:val="24"/>
          <w:szCs w:val="20"/>
          <w:lang w:val="en-US" w:eastAsia="zh-CN" w:bidi="ar-SA"/>
        </w:rPr>
        <w:t>高温性能应满足 GB/T 2423.2-2008 中试验 Bd 规定的要求，试验温度为 7.1.1 规定的上限值，待达到试验温度后启动充电机，充电机应能正常工作。试验温度持续 2 小时后，测试充电机的稳流精度应符合 7.7.4 的规定。试验 前、试验期间、试验后，充电机应能正常工作。</w:t>
      </w:r>
    </w:p>
    <w:p w14:paraId="7AD447F7">
      <w:pPr>
        <w:keepNext w:val="0"/>
        <w:keepLines w:val="0"/>
        <w:pageBreakBefore w:val="0"/>
        <w:widowControl w:val="0"/>
        <w:kinsoku/>
        <w:wordWrap/>
        <w:overflowPunct/>
        <w:topLinePunct w:val="0"/>
        <w:autoSpaceDE/>
        <w:autoSpaceDN/>
        <w:bidi w:val="0"/>
        <w:adjustRightInd/>
        <w:snapToGrid/>
        <w:spacing w:line="360" w:lineRule="auto"/>
        <w:ind w:left="669" w:right="102" w:hanging="283"/>
        <w:textAlignment w:val="auto"/>
        <w:rPr>
          <w:rFonts w:hint="eastAsia" w:ascii="宋体" w:hAnsi="宋体" w:eastAsia="宋体" w:cs="宋体"/>
          <w:b/>
          <w:bCs/>
          <w:sz w:val="28"/>
          <w:szCs w:val="28"/>
        </w:rPr>
      </w:pPr>
      <w:r>
        <w:rPr>
          <w:rFonts w:hint="eastAsia" w:ascii="宋体" w:hAnsi="宋体" w:eastAsia="宋体" w:cs="宋体"/>
          <w:b/>
          <w:bCs/>
          <w:sz w:val="28"/>
          <w:szCs w:val="28"/>
        </w:rPr>
        <w:t>（13）交变湿热能</w:t>
      </w:r>
    </w:p>
    <w:p w14:paraId="40567B35">
      <w:pPr>
        <w:spacing w:before="11" w:line="360" w:lineRule="auto"/>
        <w:ind w:left="210" w:leftChars="100" w:firstLine="480" w:firstLineChars="200"/>
        <w:rPr>
          <w:rFonts w:hint="eastAsia" w:ascii="宋体" w:hAnsi="宋体" w:eastAsia="宋体" w:cs="宋体"/>
          <w:kern w:val="0"/>
          <w:sz w:val="24"/>
          <w:szCs w:val="20"/>
          <w:lang w:val="en-US" w:eastAsia="zh-CN" w:bidi="ar-SA"/>
        </w:rPr>
      </w:pPr>
      <w:r>
        <w:rPr>
          <w:rFonts w:hint="eastAsia" w:ascii="宋体" w:hAnsi="宋体" w:eastAsia="宋体" w:cs="宋体"/>
          <w:kern w:val="0"/>
          <w:sz w:val="24"/>
          <w:szCs w:val="20"/>
          <w:lang w:val="en-US" w:eastAsia="zh-CN" w:bidi="ar-SA"/>
        </w:rPr>
        <w:t>按 GB/T 2423.4-2008 中试验 Db 规定的方法执行，试验的高温温度为（40±2）℃，循环次数为 2 次，在试验结束前 2 h 进行介电强度试验和测试绝 缘电阻，其中绝缘电阻不应小于 1MΩ，介电强度按表 3 规定值的 75 ％施加 测试电压。试验结束后，恢复至正常大气条件，通电后检查充电机各项功能 应正常。</w:t>
      </w:r>
    </w:p>
    <w:p w14:paraId="48230972">
      <w:pPr>
        <w:keepNext w:val="0"/>
        <w:keepLines w:val="0"/>
        <w:pageBreakBefore w:val="0"/>
        <w:widowControl w:val="0"/>
        <w:kinsoku/>
        <w:wordWrap/>
        <w:overflowPunct/>
        <w:topLinePunct w:val="0"/>
        <w:autoSpaceDE/>
        <w:autoSpaceDN/>
        <w:bidi w:val="0"/>
        <w:adjustRightInd/>
        <w:snapToGrid/>
        <w:spacing w:line="360" w:lineRule="auto"/>
        <w:ind w:left="669" w:right="102" w:hanging="283"/>
        <w:textAlignment w:val="auto"/>
        <w:rPr>
          <w:rFonts w:hint="eastAsia" w:ascii="宋体" w:hAnsi="宋体" w:eastAsia="宋体" w:cs="宋体"/>
          <w:b/>
          <w:bCs/>
          <w:sz w:val="28"/>
          <w:szCs w:val="28"/>
        </w:rPr>
      </w:pPr>
      <w:r>
        <w:rPr>
          <w:rFonts w:hint="eastAsia" w:ascii="宋体" w:hAnsi="宋体" w:eastAsia="宋体" w:cs="宋体"/>
          <w:b/>
          <w:bCs/>
          <w:sz w:val="28"/>
          <w:szCs w:val="28"/>
        </w:rPr>
        <w:t xml:space="preserve">（14）直流枪线防水接头 </w:t>
      </w:r>
    </w:p>
    <w:p w14:paraId="003B64BD">
      <w:pPr>
        <w:spacing w:before="11" w:line="360" w:lineRule="auto"/>
        <w:ind w:left="210" w:leftChars="100" w:firstLine="480" w:firstLineChars="200"/>
        <w:rPr>
          <w:rFonts w:hint="eastAsia" w:ascii="宋体" w:hAnsi="宋体" w:eastAsia="宋体" w:cs="宋体"/>
          <w:kern w:val="0"/>
          <w:sz w:val="24"/>
          <w:szCs w:val="20"/>
          <w:lang w:val="en-US" w:eastAsia="zh-CN" w:bidi="ar-SA"/>
        </w:rPr>
      </w:pPr>
      <w:r>
        <w:rPr>
          <w:rFonts w:hint="eastAsia" w:ascii="宋体" w:hAnsi="宋体" w:eastAsia="宋体" w:cs="宋体"/>
          <w:kern w:val="0"/>
          <w:sz w:val="24"/>
          <w:szCs w:val="20"/>
          <w:lang w:val="en-US" w:eastAsia="zh-CN" w:bidi="ar-SA"/>
        </w:rPr>
        <w:t>直流枪线防水接头，要求采用纯铜表面镀镍防水接头，要求防锈性能好，同时提高枪线接口防水性和抗拉扯性。</w:t>
      </w:r>
    </w:p>
    <w:p w14:paraId="7794A083">
      <w:pPr>
        <w:keepNext w:val="0"/>
        <w:keepLines w:val="0"/>
        <w:pageBreakBefore w:val="0"/>
        <w:widowControl w:val="0"/>
        <w:kinsoku/>
        <w:wordWrap/>
        <w:overflowPunct/>
        <w:topLinePunct w:val="0"/>
        <w:autoSpaceDE/>
        <w:autoSpaceDN/>
        <w:bidi w:val="0"/>
        <w:adjustRightInd/>
        <w:snapToGrid/>
        <w:spacing w:line="274" w:lineRule="auto"/>
        <w:ind w:left="669" w:right="102" w:hanging="283"/>
        <w:textAlignment w:val="auto"/>
        <w:rPr>
          <w:rFonts w:hint="eastAsia" w:ascii="宋体" w:hAnsi="宋体" w:eastAsia="宋体" w:cs="宋体"/>
          <w:b/>
          <w:bCs/>
          <w:sz w:val="28"/>
          <w:szCs w:val="28"/>
        </w:rPr>
      </w:pPr>
      <w:r>
        <w:rPr>
          <w:rFonts w:hint="eastAsia" w:ascii="宋体" w:hAnsi="宋体" w:eastAsia="宋体" w:cs="宋体"/>
          <w:b/>
          <w:bCs/>
          <w:sz w:val="28"/>
          <w:szCs w:val="28"/>
        </w:rPr>
        <w:t>（15）人机交互及功能</w:t>
      </w:r>
    </w:p>
    <w:p w14:paraId="3DA6CA19">
      <w:pPr>
        <w:spacing w:before="11" w:line="360" w:lineRule="auto"/>
        <w:ind w:left="210" w:leftChars="100" w:firstLine="480" w:firstLineChars="200"/>
        <w:rPr>
          <w:rFonts w:hint="eastAsia" w:ascii="宋体" w:hAnsi="宋体" w:eastAsia="宋体" w:cs="宋体"/>
          <w:kern w:val="0"/>
          <w:sz w:val="24"/>
          <w:szCs w:val="20"/>
          <w:lang w:val="en-US" w:eastAsia="zh-CN" w:bidi="ar-SA"/>
        </w:rPr>
      </w:pPr>
      <w:r>
        <w:rPr>
          <w:rFonts w:hint="eastAsia" w:ascii="宋体" w:hAnsi="宋体" w:eastAsia="宋体" w:cs="宋体"/>
          <w:kern w:val="0"/>
          <w:sz w:val="24"/>
          <w:szCs w:val="20"/>
          <w:lang w:val="en-US" w:eastAsia="zh-CN" w:bidi="ar-SA"/>
        </w:rPr>
        <w:t>充电机显示屏应至少显示下列状态信息：</w:t>
      </w:r>
    </w:p>
    <w:p w14:paraId="224B22E0">
      <w:pPr>
        <w:spacing w:before="11" w:line="360" w:lineRule="auto"/>
        <w:ind w:left="210" w:leftChars="100" w:firstLine="480" w:firstLineChars="200"/>
        <w:rPr>
          <w:rFonts w:hint="eastAsia" w:ascii="宋体" w:hAnsi="宋体" w:eastAsia="宋体" w:cs="宋体"/>
          <w:kern w:val="0"/>
          <w:sz w:val="24"/>
          <w:szCs w:val="20"/>
          <w:lang w:val="en-US" w:eastAsia="zh-CN" w:bidi="ar-SA"/>
        </w:rPr>
      </w:pPr>
      <w:r>
        <w:rPr>
          <w:rFonts w:hint="eastAsia" w:ascii="宋体" w:hAnsi="宋体" w:eastAsia="宋体" w:cs="宋体"/>
          <w:kern w:val="0"/>
          <w:sz w:val="24"/>
          <w:szCs w:val="20"/>
          <w:lang w:val="en-US" w:eastAsia="zh-CN" w:bidi="ar-SA"/>
        </w:rPr>
        <w:t>a)充电机的运行状态指示：待机、充电、告警；</w:t>
      </w:r>
    </w:p>
    <w:p w14:paraId="1B73BEA9">
      <w:pPr>
        <w:spacing w:before="11" w:line="360" w:lineRule="auto"/>
        <w:ind w:left="210" w:leftChars="100" w:firstLine="480" w:firstLineChars="200"/>
        <w:rPr>
          <w:rFonts w:hint="eastAsia" w:ascii="宋体" w:hAnsi="宋体" w:eastAsia="宋体" w:cs="宋体"/>
          <w:kern w:val="0"/>
          <w:sz w:val="24"/>
          <w:szCs w:val="20"/>
          <w:lang w:val="en-US" w:eastAsia="zh-CN" w:bidi="ar-SA"/>
        </w:rPr>
      </w:pPr>
      <w:r>
        <w:rPr>
          <w:rFonts w:hint="eastAsia" w:ascii="宋体" w:hAnsi="宋体" w:eastAsia="宋体" w:cs="宋体"/>
          <w:kern w:val="0"/>
          <w:sz w:val="24"/>
          <w:szCs w:val="20"/>
          <w:lang w:val="en-US" w:eastAsia="zh-CN" w:bidi="ar-SA"/>
        </w:rPr>
        <w:t>b)具有手动充电控制功能的充电机应显示人工输入信息。</w:t>
      </w:r>
    </w:p>
    <w:p w14:paraId="18BBA9DA">
      <w:pPr>
        <w:spacing w:before="11" w:line="360" w:lineRule="auto"/>
        <w:ind w:left="210" w:leftChars="100" w:firstLine="480" w:firstLineChars="200"/>
        <w:rPr>
          <w:rFonts w:hint="eastAsia" w:ascii="宋体" w:hAnsi="宋体" w:eastAsia="宋体" w:cs="宋体"/>
          <w:kern w:val="0"/>
          <w:sz w:val="24"/>
          <w:szCs w:val="20"/>
          <w:lang w:val="en-US" w:eastAsia="zh-CN" w:bidi="ar-SA"/>
        </w:rPr>
      </w:pPr>
      <w:r>
        <w:rPr>
          <w:rFonts w:hint="eastAsia" w:ascii="宋体" w:hAnsi="宋体" w:eastAsia="宋体" w:cs="宋体"/>
          <w:kern w:val="0"/>
          <w:sz w:val="24"/>
          <w:szCs w:val="20"/>
          <w:lang w:val="en-US" w:eastAsia="zh-CN" w:bidi="ar-SA"/>
        </w:rPr>
        <w:t>充电机应显示但不限于下列信息：</w:t>
      </w:r>
    </w:p>
    <w:p w14:paraId="6CBC9332">
      <w:pPr>
        <w:spacing w:before="11" w:line="360" w:lineRule="auto"/>
        <w:ind w:left="210" w:leftChars="100" w:firstLine="480" w:firstLineChars="200"/>
        <w:rPr>
          <w:rFonts w:hint="eastAsia" w:ascii="宋体" w:hAnsi="宋体" w:eastAsia="宋体" w:cs="宋体"/>
          <w:kern w:val="0"/>
          <w:sz w:val="24"/>
          <w:szCs w:val="20"/>
          <w:lang w:val="en-US" w:eastAsia="zh-CN" w:bidi="ar-SA"/>
        </w:rPr>
      </w:pPr>
      <w:r>
        <w:rPr>
          <w:rFonts w:hint="eastAsia" w:ascii="宋体" w:hAnsi="宋体" w:eastAsia="宋体" w:cs="宋体"/>
          <w:kern w:val="0"/>
          <w:sz w:val="24"/>
          <w:szCs w:val="20"/>
          <w:lang w:val="en-US" w:eastAsia="zh-CN" w:bidi="ar-SA"/>
        </w:rPr>
        <w:t>a)已充电时间、充电电量、充电金额、充电功率、当前费率；</w:t>
      </w:r>
    </w:p>
    <w:p w14:paraId="2F28DBA0">
      <w:pPr>
        <w:spacing w:before="11" w:line="360" w:lineRule="auto"/>
        <w:ind w:left="210" w:leftChars="100" w:firstLine="480" w:firstLineChars="200"/>
        <w:rPr>
          <w:rFonts w:hint="eastAsia" w:ascii="宋体" w:hAnsi="宋体" w:eastAsia="宋体" w:cs="宋体"/>
          <w:kern w:val="0"/>
          <w:sz w:val="24"/>
          <w:szCs w:val="20"/>
          <w:lang w:val="en-US" w:eastAsia="zh-CN" w:bidi="ar-SA"/>
        </w:rPr>
      </w:pPr>
      <w:r>
        <w:rPr>
          <w:rFonts w:hint="eastAsia" w:ascii="宋体" w:hAnsi="宋体" w:eastAsia="宋体" w:cs="宋体"/>
          <w:kern w:val="0"/>
          <w:sz w:val="24"/>
          <w:szCs w:val="20"/>
          <w:lang w:val="en-US" w:eastAsia="zh-CN" w:bidi="ar-SA"/>
        </w:rPr>
        <w:t>b)电池当前电荷状态 SOC、充电电压、充电电流、电池需求电压、电池需求电流；</w:t>
      </w:r>
    </w:p>
    <w:p w14:paraId="148D838C">
      <w:pPr>
        <w:spacing w:before="11" w:line="360" w:lineRule="auto"/>
        <w:ind w:left="210" w:leftChars="100" w:firstLine="480" w:firstLineChars="200"/>
        <w:rPr>
          <w:rFonts w:hint="eastAsia" w:ascii="宋体" w:hAnsi="宋体" w:eastAsia="宋体" w:cs="宋体"/>
          <w:kern w:val="0"/>
          <w:sz w:val="24"/>
          <w:szCs w:val="20"/>
          <w:lang w:val="en-US" w:eastAsia="zh-CN" w:bidi="ar-SA"/>
        </w:rPr>
      </w:pPr>
      <w:r>
        <w:rPr>
          <w:rFonts w:hint="eastAsia" w:ascii="宋体" w:hAnsi="宋体" w:eastAsia="宋体" w:cs="宋体"/>
          <w:kern w:val="0"/>
          <w:sz w:val="24"/>
          <w:szCs w:val="20"/>
          <w:lang w:val="en-US" w:eastAsia="zh-CN" w:bidi="ar-SA"/>
        </w:rPr>
        <w:t>c)充电停止原因及停止详情。</w:t>
      </w:r>
    </w:p>
    <w:p w14:paraId="47801C19">
      <w:pPr>
        <w:spacing w:before="11" w:line="360" w:lineRule="auto"/>
        <w:ind w:left="210" w:leftChars="100" w:firstLine="480" w:firstLineChars="200"/>
        <w:rPr>
          <w:rFonts w:hint="eastAsia" w:ascii="宋体" w:hAnsi="宋体" w:eastAsia="宋体" w:cs="宋体"/>
          <w:kern w:val="0"/>
          <w:sz w:val="24"/>
          <w:szCs w:val="20"/>
          <w:lang w:val="en-US" w:eastAsia="zh-CN" w:bidi="ar-SA"/>
        </w:rPr>
      </w:pPr>
      <w:r>
        <w:rPr>
          <w:rFonts w:hint="eastAsia" w:ascii="宋体" w:hAnsi="宋体" w:eastAsia="宋体" w:cs="宋体"/>
          <w:kern w:val="0"/>
          <w:sz w:val="24"/>
          <w:szCs w:val="20"/>
          <w:lang w:val="en-US" w:eastAsia="zh-CN" w:bidi="ar-SA"/>
        </w:rPr>
        <w:t>充电机宜具有授权条件下手动输入和控制的功能。</w:t>
      </w:r>
    </w:p>
    <w:p w14:paraId="6193F54E">
      <w:pPr>
        <w:keepNext w:val="0"/>
        <w:keepLines w:val="0"/>
        <w:pageBreakBefore w:val="0"/>
        <w:widowControl w:val="0"/>
        <w:kinsoku/>
        <w:wordWrap/>
        <w:overflowPunct/>
        <w:topLinePunct w:val="0"/>
        <w:autoSpaceDE/>
        <w:autoSpaceDN/>
        <w:bidi w:val="0"/>
        <w:adjustRightInd/>
        <w:snapToGrid/>
        <w:spacing w:line="274" w:lineRule="auto"/>
        <w:ind w:left="669" w:right="102" w:hanging="283"/>
        <w:textAlignment w:val="auto"/>
        <w:rPr>
          <w:rFonts w:hint="eastAsia" w:ascii="宋体" w:hAnsi="宋体" w:eastAsia="宋体" w:cs="宋体"/>
          <w:b/>
          <w:bCs/>
          <w:sz w:val="28"/>
          <w:szCs w:val="28"/>
        </w:rPr>
      </w:pPr>
      <w:r>
        <w:rPr>
          <w:rFonts w:hint="eastAsia" w:ascii="宋体" w:hAnsi="宋体" w:eastAsia="宋体" w:cs="宋体"/>
          <w:b/>
          <w:bCs/>
          <w:sz w:val="28"/>
          <w:szCs w:val="28"/>
        </w:rPr>
        <w:t>（16）远程升级功能</w:t>
      </w:r>
    </w:p>
    <w:p w14:paraId="38A1FF9C">
      <w:pPr>
        <w:spacing w:before="11" w:line="360" w:lineRule="auto"/>
        <w:ind w:left="210" w:leftChars="100" w:firstLine="480" w:firstLineChars="200"/>
        <w:rPr>
          <w:rFonts w:hint="eastAsia" w:ascii="宋体" w:hAnsi="宋体" w:eastAsia="宋体" w:cs="宋体"/>
          <w:kern w:val="0"/>
          <w:sz w:val="24"/>
          <w:szCs w:val="20"/>
          <w:lang w:val="en-US" w:eastAsia="zh-CN" w:bidi="ar-SA"/>
        </w:rPr>
      </w:pPr>
      <w:r>
        <w:rPr>
          <w:rFonts w:hint="eastAsia" w:ascii="宋体" w:hAnsi="宋体" w:eastAsia="宋体" w:cs="宋体"/>
          <w:kern w:val="0"/>
          <w:sz w:val="24"/>
          <w:szCs w:val="20"/>
          <w:lang w:val="en-US" w:eastAsia="zh-CN" w:bidi="ar-SA"/>
        </w:rPr>
        <w:t>充电设备联网接入平台后，可通过远程升级设备软件程序。</w:t>
      </w:r>
    </w:p>
    <w:p w14:paraId="117E2D74">
      <w:pPr>
        <w:keepNext w:val="0"/>
        <w:keepLines w:val="0"/>
        <w:pageBreakBefore w:val="0"/>
        <w:widowControl w:val="0"/>
        <w:kinsoku/>
        <w:wordWrap/>
        <w:overflowPunct/>
        <w:topLinePunct w:val="0"/>
        <w:autoSpaceDE/>
        <w:autoSpaceDN/>
        <w:bidi w:val="0"/>
        <w:adjustRightInd/>
        <w:snapToGrid/>
        <w:spacing w:line="274" w:lineRule="auto"/>
        <w:ind w:left="669" w:right="102" w:hanging="283"/>
        <w:textAlignment w:val="auto"/>
        <w:rPr>
          <w:rFonts w:hint="eastAsia" w:ascii="宋体" w:hAnsi="宋体" w:eastAsia="宋体" w:cs="宋体"/>
          <w:b/>
          <w:bCs/>
          <w:sz w:val="28"/>
          <w:szCs w:val="28"/>
        </w:rPr>
      </w:pPr>
      <w:r>
        <w:rPr>
          <w:rFonts w:hint="eastAsia" w:ascii="宋体" w:hAnsi="宋体" w:eastAsia="宋体" w:cs="宋体"/>
          <w:b/>
          <w:bCs/>
          <w:sz w:val="28"/>
          <w:szCs w:val="28"/>
        </w:rPr>
        <w:t>（17）备份存储自动上传</w:t>
      </w:r>
    </w:p>
    <w:p w14:paraId="5E1F1686">
      <w:pPr>
        <w:spacing w:before="11" w:line="360" w:lineRule="auto"/>
        <w:ind w:left="210" w:leftChars="100" w:firstLine="480" w:firstLineChars="200"/>
        <w:rPr>
          <w:rFonts w:hint="eastAsia" w:ascii="宋体" w:hAnsi="宋体" w:eastAsia="宋体" w:cs="宋体"/>
          <w:kern w:val="0"/>
          <w:sz w:val="24"/>
          <w:szCs w:val="20"/>
          <w:lang w:val="en-US" w:eastAsia="zh-CN" w:bidi="ar-SA"/>
        </w:rPr>
      </w:pPr>
      <w:r>
        <w:rPr>
          <w:rFonts w:hint="eastAsia" w:ascii="宋体" w:hAnsi="宋体" w:eastAsia="宋体" w:cs="宋体"/>
          <w:kern w:val="0"/>
          <w:sz w:val="24"/>
          <w:szCs w:val="20"/>
          <w:lang w:val="en-US" w:eastAsia="zh-CN" w:bidi="ar-SA"/>
        </w:rPr>
        <w:t>本地系统自动备份离网数据，充电设备在停电后，应及时上传充电记录至运营管理系统，或在本地保存本次充电记录信息，并实现联网后的自动上传到平台。</w:t>
      </w:r>
    </w:p>
    <w:p w14:paraId="4A0F887A">
      <w:pPr>
        <w:spacing w:before="11" w:line="360" w:lineRule="auto"/>
        <w:ind w:left="210" w:leftChars="100" w:firstLine="480" w:firstLineChars="200"/>
        <w:rPr>
          <w:rFonts w:hint="eastAsia" w:ascii="宋体" w:hAnsi="宋体" w:eastAsia="宋体" w:cs="宋体"/>
          <w:kern w:val="0"/>
          <w:sz w:val="24"/>
          <w:szCs w:val="20"/>
          <w:lang w:val="en-US" w:eastAsia="zh-CN" w:bidi="ar-SA"/>
        </w:rPr>
      </w:pPr>
      <w:r>
        <w:rPr>
          <w:rFonts w:hint="eastAsia" w:ascii="宋体" w:hAnsi="宋体" w:eastAsia="宋体" w:cs="宋体"/>
          <w:kern w:val="0"/>
          <w:sz w:val="24"/>
          <w:szCs w:val="20"/>
          <w:lang w:val="en-US" w:eastAsia="zh-CN" w:bidi="ar-SA"/>
        </w:rPr>
        <w:t>交易数据应保证存储数据的正确、连续、完整、有效，并以记录形式保存在非易失性存储器内。本地应能存储 10 天或以上的通讯报文。</w:t>
      </w:r>
    </w:p>
    <w:p w14:paraId="76C528F3">
      <w:pPr>
        <w:keepNext w:val="0"/>
        <w:keepLines w:val="0"/>
        <w:pageBreakBefore w:val="0"/>
        <w:widowControl w:val="0"/>
        <w:kinsoku/>
        <w:wordWrap/>
        <w:overflowPunct/>
        <w:topLinePunct w:val="0"/>
        <w:autoSpaceDE/>
        <w:autoSpaceDN/>
        <w:bidi w:val="0"/>
        <w:adjustRightInd/>
        <w:snapToGrid/>
        <w:spacing w:line="274" w:lineRule="auto"/>
        <w:ind w:left="669" w:right="102" w:hanging="283"/>
        <w:textAlignment w:val="auto"/>
        <w:rPr>
          <w:rFonts w:hint="eastAsia" w:ascii="宋体" w:hAnsi="宋体" w:eastAsia="宋体" w:cs="宋体"/>
          <w:b/>
          <w:bCs/>
          <w:sz w:val="28"/>
          <w:szCs w:val="28"/>
        </w:rPr>
      </w:pPr>
      <w:r>
        <w:rPr>
          <w:rFonts w:hint="eastAsia" w:ascii="宋体" w:hAnsi="宋体" w:eastAsia="宋体" w:cs="宋体"/>
          <w:b/>
          <w:bCs/>
          <w:sz w:val="28"/>
          <w:szCs w:val="28"/>
        </w:rPr>
        <w:t>（18）故障录波功能</w:t>
      </w:r>
    </w:p>
    <w:p w14:paraId="3654B6C5">
      <w:pPr>
        <w:spacing w:before="11" w:line="360" w:lineRule="auto"/>
        <w:ind w:left="210" w:leftChars="100" w:firstLine="480" w:firstLineChars="200"/>
        <w:rPr>
          <w:rFonts w:hint="eastAsia" w:ascii="宋体" w:hAnsi="宋体" w:eastAsia="宋体" w:cs="宋体"/>
          <w:kern w:val="0"/>
          <w:sz w:val="24"/>
          <w:szCs w:val="20"/>
          <w:lang w:val="en-US" w:eastAsia="zh-CN" w:bidi="ar-SA"/>
        </w:rPr>
      </w:pPr>
      <w:r>
        <w:rPr>
          <w:rFonts w:hint="eastAsia" w:ascii="宋体" w:hAnsi="宋体" w:eastAsia="宋体" w:cs="宋体"/>
          <w:kern w:val="0"/>
          <w:sz w:val="24"/>
          <w:szCs w:val="20"/>
          <w:lang w:val="en-US" w:eastAsia="zh-CN" w:bidi="ar-SA"/>
        </w:rPr>
        <w:t>充电机应具备故障录波功能，在充电过程中，当出现疑似故障特征或实际故障发生后，应记录故障前后电池、充电机的关键信息(电压、电流、SOC、温度、单体电池信息、通讯报文等)，进行本地存储并同时上传至监控后台，实现本地和远程双存储备份。</w:t>
      </w:r>
    </w:p>
    <w:p w14:paraId="14B8F35F">
      <w:pPr>
        <w:keepNext w:val="0"/>
        <w:keepLines w:val="0"/>
        <w:pageBreakBefore w:val="0"/>
        <w:widowControl w:val="0"/>
        <w:kinsoku/>
        <w:wordWrap/>
        <w:overflowPunct/>
        <w:topLinePunct w:val="0"/>
        <w:autoSpaceDE/>
        <w:autoSpaceDN/>
        <w:bidi w:val="0"/>
        <w:adjustRightInd/>
        <w:snapToGrid/>
        <w:spacing w:line="274" w:lineRule="auto"/>
        <w:ind w:left="669" w:right="102" w:hanging="283"/>
        <w:textAlignment w:val="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（19）待机功耗</w:t>
      </w:r>
    </w:p>
    <w:p w14:paraId="17C36F58">
      <w:pPr>
        <w:spacing w:before="11" w:line="360" w:lineRule="auto"/>
        <w:ind w:left="210" w:leftChars="100" w:firstLine="480" w:firstLineChars="200"/>
        <w:rPr>
          <w:rFonts w:hint="eastAsia" w:ascii="宋体" w:hAnsi="宋体" w:eastAsia="宋体" w:cs="宋体"/>
          <w:kern w:val="0"/>
          <w:sz w:val="24"/>
          <w:szCs w:val="20"/>
          <w:lang w:val="en-US" w:eastAsia="zh-CN" w:bidi="ar-SA"/>
        </w:rPr>
      </w:pPr>
      <w:r>
        <w:rPr>
          <w:rFonts w:hint="eastAsia" w:ascii="宋体" w:hAnsi="宋体" w:eastAsia="宋体" w:cs="宋体"/>
          <w:kern w:val="0"/>
          <w:sz w:val="24"/>
          <w:szCs w:val="20"/>
          <w:lang w:val="en-US" w:eastAsia="zh-CN" w:bidi="ar-SA"/>
        </w:rPr>
        <w:t>一体式充电设备在额定输入电压下（参考行标NB/T 33008-2018第5.13项：在额定输入电压下，充电机不连接试验系统且无人员操作，仅保留其后台通信、状态指示灯等基本功能的状态，测量充电机的待机功耗不应大于N*50W。注：N为充电接口数）。</w:t>
      </w:r>
    </w:p>
    <w:p w14:paraId="244BC708">
      <w:pPr>
        <w:spacing w:before="11" w:line="360" w:lineRule="auto"/>
        <w:ind w:left="210" w:leftChars="100" w:firstLine="480" w:firstLineChars="200"/>
        <w:rPr>
          <w:rFonts w:hint="eastAsia" w:ascii="宋体" w:hAnsi="宋体" w:eastAsia="宋体" w:cs="宋体"/>
          <w:kern w:val="0"/>
          <w:sz w:val="24"/>
          <w:szCs w:val="20"/>
          <w:lang w:val="en-US" w:eastAsia="zh-CN" w:bidi="ar-SA"/>
        </w:rPr>
      </w:pPr>
      <w:r>
        <w:rPr>
          <w:rFonts w:hint="eastAsia" w:ascii="宋体" w:hAnsi="宋体" w:eastAsia="宋体" w:cs="宋体"/>
          <w:kern w:val="0"/>
          <w:sz w:val="24"/>
          <w:szCs w:val="20"/>
          <w:lang w:val="en-US" w:eastAsia="zh-CN" w:bidi="ar-SA"/>
        </w:rPr>
        <w:t>充电设备整机待机功耗应≤20W，并提供一体式充电机整机型式试验报告，报告带有CMA、CNAS印章。</w:t>
      </w:r>
    </w:p>
    <w:p w14:paraId="5296D3F7">
      <w:pPr>
        <w:keepNext w:val="0"/>
        <w:keepLines w:val="0"/>
        <w:pageBreakBefore w:val="0"/>
        <w:widowControl w:val="0"/>
        <w:kinsoku/>
        <w:wordWrap/>
        <w:overflowPunct/>
        <w:topLinePunct w:val="0"/>
        <w:autoSpaceDE/>
        <w:autoSpaceDN/>
        <w:bidi w:val="0"/>
        <w:adjustRightInd/>
        <w:snapToGrid/>
        <w:spacing w:line="274" w:lineRule="auto"/>
        <w:ind w:left="669" w:right="102" w:hanging="283"/>
        <w:textAlignment w:val="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（20）充电模式和连接方式</w:t>
      </w:r>
    </w:p>
    <w:p w14:paraId="67086D33">
      <w:pPr>
        <w:spacing w:before="11" w:line="360" w:lineRule="auto"/>
        <w:ind w:left="210" w:leftChars="100" w:firstLine="480" w:firstLineChars="200"/>
        <w:rPr>
          <w:rFonts w:hint="eastAsia" w:ascii="宋体" w:hAnsi="宋体" w:eastAsia="宋体" w:cs="宋体"/>
          <w:kern w:val="0"/>
          <w:sz w:val="24"/>
          <w:szCs w:val="20"/>
          <w:lang w:val="en-US" w:eastAsia="zh-CN" w:bidi="ar-SA"/>
        </w:rPr>
      </w:pPr>
      <w:r>
        <w:rPr>
          <w:rFonts w:hint="eastAsia" w:ascii="宋体" w:hAnsi="宋体" w:eastAsia="宋体" w:cs="宋体"/>
          <w:kern w:val="0"/>
          <w:sz w:val="24"/>
          <w:szCs w:val="20"/>
          <w:lang w:val="en-US" w:eastAsia="zh-CN" w:bidi="ar-SA"/>
        </w:rPr>
        <w:t>充电机应采用 GBIT 18487.1-2023中3.1.4.4 规定的充电模式4对电动汽车进行充车辆插头应符合 GB/T 20234.1-2023和GB/T 20234.3-2023 的规定。</w:t>
      </w:r>
    </w:p>
    <w:p w14:paraId="3E1F6EEF">
      <w:pPr>
        <w:keepNext w:val="0"/>
        <w:keepLines w:val="0"/>
        <w:pageBreakBefore w:val="0"/>
        <w:widowControl w:val="0"/>
        <w:kinsoku/>
        <w:wordWrap/>
        <w:overflowPunct/>
        <w:topLinePunct w:val="0"/>
        <w:autoSpaceDE/>
        <w:autoSpaceDN/>
        <w:bidi w:val="0"/>
        <w:adjustRightInd/>
        <w:snapToGrid/>
        <w:spacing w:line="274" w:lineRule="auto"/>
        <w:ind w:left="669" w:right="102" w:hanging="283"/>
        <w:textAlignment w:val="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（21）控制导引电路</w:t>
      </w:r>
    </w:p>
    <w:p w14:paraId="41BC0D22">
      <w:pPr>
        <w:spacing w:before="11" w:line="360" w:lineRule="auto"/>
        <w:ind w:left="210" w:leftChars="100" w:firstLine="480" w:firstLineChars="200"/>
        <w:rPr>
          <w:rFonts w:hint="eastAsia" w:ascii="宋体" w:hAnsi="宋体" w:eastAsia="宋体" w:cs="宋体"/>
          <w:kern w:val="0"/>
          <w:sz w:val="24"/>
          <w:szCs w:val="20"/>
          <w:lang w:val="en-US" w:eastAsia="zh-CN" w:bidi="ar-SA"/>
        </w:rPr>
      </w:pPr>
      <w:r>
        <w:rPr>
          <w:rFonts w:hint="eastAsia" w:ascii="宋体" w:hAnsi="宋体" w:eastAsia="宋体" w:cs="宋体"/>
          <w:kern w:val="0"/>
          <w:sz w:val="24"/>
          <w:szCs w:val="20"/>
          <w:lang w:val="en-US" w:eastAsia="zh-CN" w:bidi="ar-SA"/>
        </w:rPr>
        <w:t>充电机与电动汽车充电控制导引电路，应符合 GB/T 18487.1-2023 中 B.2、B.3的规定。</w:t>
      </w:r>
    </w:p>
    <w:p w14:paraId="64A58F51">
      <w:pPr>
        <w:keepNext w:val="0"/>
        <w:keepLines w:val="0"/>
        <w:pageBreakBefore w:val="0"/>
        <w:widowControl w:val="0"/>
        <w:kinsoku/>
        <w:wordWrap/>
        <w:overflowPunct/>
        <w:topLinePunct w:val="0"/>
        <w:autoSpaceDE/>
        <w:autoSpaceDN/>
        <w:bidi w:val="0"/>
        <w:adjustRightInd/>
        <w:snapToGrid/>
        <w:spacing w:line="274" w:lineRule="auto"/>
        <w:ind w:left="669" w:right="102" w:hanging="283"/>
        <w:textAlignment w:val="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（22）充电控制时序与流程</w:t>
      </w:r>
    </w:p>
    <w:p w14:paraId="32193F13">
      <w:pPr>
        <w:spacing w:before="11" w:line="360" w:lineRule="auto"/>
        <w:ind w:left="210" w:leftChars="100" w:firstLine="480" w:firstLineChars="200"/>
        <w:rPr>
          <w:rFonts w:hint="eastAsia" w:ascii="宋体" w:hAnsi="宋体" w:eastAsia="宋体" w:cs="宋体"/>
          <w:kern w:val="0"/>
          <w:sz w:val="24"/>
          <w:szCs w:val="20"/>
          <w:lang w:val="en-US" w:eastAsia="zh-CN" w:bidi="ar-SA"/>
        </w:rPr>
      </w:pPr>
      <w:r>
        <w:rPr>
          <w:rFonts w:hint="eastAsia" w:ascii="宋体" w:hAnsi="宋体" w:eastAsia="宋体" w:cs="宋体"/>
          <w:kern w:val="0"/>
          <w:sz w:val="24"/>
          <w:szCs w:val="20"/>
          <w:lang w:val="en-US" w:eastAsia="zh-CN" w:bidi="ar-SA"/>
        </w:rPr>
        <w:t>充电机与电动汽车充电控制时序与流程，应符合 GB/T 18487.1-2023 中 B.4、B.5.B.6 的规定。</w:t>
      </w:r>
    </w:p>
    <w:p w14:paraId="1914E367">
      <w:pPr>
        <w:keepNext w:val="0"/>
        <w:keepLines w:val="0"/>
        <w:pageBreakBefore w:val="0"/>
        <w:widowControl w:val="0"/>
        <w:kinsoku/>
        <w:wordWrap/>
        <w:overflowPunct/>
        <w:topLinePunct w:val="0"/>
        <w:autoSpaceDE/>
        <w:autoSpaceDN/>
        <w:bidi w:val="0"/>
        <w:adjustRightInd/>
        <w:snapToGrid/>
        <w:spacing w:line="274" w:lineRule="auto"/>
        <w:ind w:left="669" w:right="102" w:hanging="283"/>
        <w:textAlignment w:val="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（23）机械强度</w:t>
      </w:r>
    </w:p>
    <w:p w14:paraId="2CE563C4">
      <w:pPr>
        <w:spacing w:before="11" w:line="360" w:lineRule="auto"/>
        <w:ind w:left="210" w:leftChars="100" w:firstLine="480" w:firstLineChars="200"/>
        <w:rPr>
          <w:rFonts w:hint="eastAsia" w:ascii="宋体" w:hAnsi="宋体" w:eastAsia="宋体" w:cs="宋体"/>
          <w:kern w:val="0"/>
          <w:sz w:val="24"/>
          <w:szCs w:val="20"/>
          <w:lang w:val="en-US" w:eastAsia="zh-CN" w:bidi="ar-SA"/>
        </w:rPr>
      </w:pPr>
      <w:r>
        <w:rPr>
          <w:rFonts w:hint="eastAsia" w:ascii="宋体" w:hAnsi="宋体" w:eastAsia="宋体" w:cs="宋体"/>
          <w:kern w:val="0"/>
          <w:sz w:val="24"/>
          <w:szCs w:val="20"/>
          <w:lang w:val="en-US" w:eastAsia="zh-CN" w:bidi="ar-SA"/>
        </w:rPr>
        <w:t>按 GB/T 2423.55-2023 规定的方法进行试验，剧烈冲击能量为 20J(5kg，在0.4m)。试验结束后，充电机的IP等级不受影响，绝缘性能不应降低，门的操作和锁止点不应损坏。</w:t>
      </w:r>
    </w:p>
    <w:p w14:paraId="4F2BD459">
      <w:pPr>
        <w:widowControl/>
        <w:jc w:val="left"/>
        <w:rPr>
          <w:rFonts w:hint="eastAsia" w:ascii="宋体" w:hAnsi="宋体" w:eastAsia="宋体" w:cs="宋体"/>
          <w:highlight w:val="none"/>
        </w:rPr>
      </w:pPr>
      <w:r>
        <w:rPr>
          <w:rFonts w:hint="eastAsia" w:ascii="宋体" w:hAnsi="宋体" w:eastAsia="宋体" w:cs="宋体"/>
          <w:highlight w:val="none"/>
        </w:rPr>
        <w:br w:type="page"/>
      </w:r>
    </w:p>
    <w:p w14:paraId="43457FC2">
      <w:pPr>
        <w:pStyle w:val="4"/>
        <w:spacing w:before="0" w:after="0" w:line="360" w:lineRule="auto"/>
        <w:rPr>
          <w:rFonts w:hint="eastAsia" w:ascii="宋体" w:hAnsi="宋体" w:eastAsia="宋体" w:cs="宋体"/>
          <w:highlight w:val="none"/>
        </w:rPr>
      </w:pPr>
      <w:r>
        <w:rPr>
          <w:rFonts w:hint="eastAsia" w:ascii="宋体" w:hAnsi="宋体" w:eastAsia="宋体" w:cs="宋体"/>
          <w:highlight w:val="none"/>
          <w:lang w:val="en-US" w:eastAsia="zh-CN"/>
        </w:rPr>
        <w:t>4</w:t>
      </w:r>
      <w:r>
        <w:rPr>
          <w:rFonts w:hint="eastAsia" w:ascii="宋体" w:hAnsi="宋体" w:eastAsia="宋体" w:cs="宋体"/>
          <w:highlight w:val="none"/>
        </w:rPr>
        <w:t>、平台功能要求</w:t>
      </w:r>
    </w:p>
    <w:p w14:paraId="0236AE96">
      <w:pPr>
        <w:pStyle w:val="9"/>
        <w:spacing w:before="0" w:after="0" w:line="360" w:lineRule="auto"/>
        <w:rPr>
          <w:rFonts w:hint="eastAsia" w:ascii="宋体" w:hAnsi="宋体" w:eastAsia="宋体" w:cs="宋体"/>
          <w:highlight w:val="none"/>
        </w:rPr>
      </w:pPr>
      <w:r>
        <w:rPr>
          <w:rFonts w:hint="eastAsia" w:ascii="宋体" w:hAnsi="宋体" w:eastAsia="宋体" w:cs="宋体"/>
          <w:highlight w:val="none"/>
          <w:lang w:val="en-US" w:eastAsia="zh-CN"/>
        </w:rPr>
        <w:t>4</w:t>
      </w:r>
      <w:r>
        <w:rPr>
          <w:rFonts w:hint="eastAsia" w:ascii="宋体" w:hAnsi="宋体" w:eastAsia="宋体" w:cs="宋体"/>
          <w:highlight w:val="none"/>
        </w:rPr>
        <w:t>.1</w:t>
      </w:r>
      <w:r>
        <w:rPr>
          <w:rFonts w:hint="eastAsia" w:ascii="宋体" w:hAnsi="宋体" w:eastAsia="宋体" w:cs="宋体"/>
          <w:highlight w:val="none"/>
        </w:rPr>
        <w:t>总体架构</w:t>
      </w:r>
    </w:p>
    <w:p w14:paraId="5D393C1F">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.1.1</w:t>
      </w:r>
      <w:r>
        <w:rPr>
          <w:rFonts w:hint="eastAsia" w:ascii="宋体" w:hAnsi="宋体" w:eastAsia="宋体" w:cs="宋体"/>
          <w:sz w:val="24"/>
          <w:szCs w:val="24"/>
          <w:highlight w:val="none"/>
        </w:rPr>
        <w:t>充电系统采用平台化技术，可以实现设备管理和业务系统剥离，实现标准化充电平台，充电设备可以向多个业务系统开放，如：开放给开发商或物业。</w:t>
      </w:r>
    </w:p>
    <w:p w14:paraId="7F4AB45B">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.1.2</w:t>
      </w:r>
      <w:r>
        <w:rPr>
          <w:rFonts w:hint="eastAsia" w:ascii="宋体" w:hAnsi="宋体" w:eastAsia="宋体" w:cs="宋体"/>
          <w:sz w:val="24"/>
          <w:szCs w:val="24"/>
          <w:highlight w:val="none"/>
        </w:rPr>
        <w:t>同一平台上实现多种业务场景组合，实现统一的管理和监控。如：同一个设备可以对内部业主使用，可以对外公共社会化使用，内部可以通过发送优惠券的方式来降低业主的充电成本，实现分类管理、不用类别用户的识别。</w:t>
      </w:r>
    </w:p>
    <w:p w14:paraId="228874C3">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．1</w:t>
      </w:r>
      <w:r>
        <w:rPr>
          <w:rFonts w:hint="eastAsia" w:ascii="宋体" w:hAnsi="宋体" w:eastAsia="宋体" w:cs="宋体"/>
          <w:sz w:val="24"/>
          <w:szCs w:val="24"/>
          <w:highlight w:val="none"/>
        </w:rPr>
        <w:t>.3</w:t>
      </w:r>
      <w:r>
        <w:rPr>
          <w:rFonts w:hint="eastAsia" w:ascii="宋体" w:hAnsi="宋体" w:eastAsia="宋体" w:cs="宋体"/>
          <w:sz w:val="24"/>
          <w:szCs w:val="24"/>
          <w:highlight w:val="none"/>
        </w:rPr>
        <w:t>充电监控系统：全方位的监控系统，检测充电设备、充电过程、能源流动、系统告警等，以全面的监控数据和数据分析，提供智能化预警功能，是充电运营的有效安全保障。</w:t>
      </w:r>
    </w:p>
    <w:p w14:paraId="71092A37">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.1.4</w:t>
      </w:r>
      <w:r>
        <w:rPr>
          <w:rFonts w:hint="eastAsia" w:ascii="宋体" w:hAnsi="宋体" w:eastAsia="宋体" w:cs="宋体"/>
          <w:sz w:val="24"/>
          <w:szCs w:val="24"/>
          <w:highlight w:val="none"/>
        </w:rPr>
        <w:t>计费和分账：支持分时电价、支持断网或其他意外情况，针对不同的平台角色和多层次的等级，均可实现快速结算分账</w:t>
      </w:r>
    </w:p>
    <w:p w14:paraId="001C9099">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.1.5</w:t>
      </w:r>
      <w:r>
        <w:rPr>
          <w:rFonts w:hint="eastAsia" w:ascii="宋体" w:hAnsi="宋体" w:eastAsia="宋体" w:cs="宋体"/>
          <w:sz w:val="24"/>
          <w:szCs w:val="24"/>
          <w:highlight w:val="none"/>
        </w:rPr>
        <w:t>互联互通，能够与其他管理平台做互联互通连接。</w:t>
      </w:r>
    </w:p>
    <w:p w14:paraId="20A02352">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.1.6</w:t>
      </w:r>
      <w:r>
        <w:rPr>
          <w:rFonts w:hint="eastAsia" w:ascii="宋体" w:hAnsi="宋体" w:eastAsia="宋体" w:cs="宋体"/>
          <w:sz w:val="24"/>
          <w:szCs w:val="24"/>
          <w:highlight w:val="none"/>
        </w:rPr>
        <w:t>硬件容错：针对充电设施可能常见的错误，设计100余种容错机制，即使在硬件出故障时，保障用户的充电体验，保障运营商的利益。</w:t>
      </w:r>
    </w:p>
    <w:p w14:paraId="562B2CCF">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.1.7</w:t>
      </w:r>
      <w:r>
        <w:rPr>
          <w:rFonts w:hint="eastAsia" w:ascii="宋体" w:hAnsi="宋体" w:eastAsia="宋体" w:cs="宋体"/>
          <w:sz w:val="24"/>
          <w:szCs w:val="24"/>
          <w:highlight w:val="none"/>
        </w:rPr>
        <w:t>自主数据总线机制，实现了在保证主流程（IOT、OPEN服务）高效执行的基础上，可以无限扩展子系统（CMS、监控系统、ERP系统等）</w:t>
      </w:r>
    </w:p>
    <w:p w14:paraId="21C47809">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.1.8</w:t>
      </w:r>
      <w:r>
        <w:rPr>
          <w:rFonts w:hint="eastAsia" w:ascii="宋体" w:hAnsi="宋体" w:eastAsia="宋体" w:cs="宋体"/>
          <w:sz w:val="24"/>
          <w:szCs w:val="24"/>
          <w:highlight w:val="none"/>
        </w:rPr>
        <w:t>弱耦合系统架构：系统中每个模块都可以独立拆分，方便扩展，便于针对某个模块的升级，新增或者扩展。</w:t>
      </w:r>
    </w:p>
    <w:p w14:paraId="7DBFBD57">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.1.9</w:t>
      </w:r>
      <w:r>
        <w:rPr>
          <w:rFonts w:hint="eastAsia" w:ascii="宋体" w:hAnsi="宋体" w:eastAsia="宋体" w:cs="宋体"/>
          <w:sz w:val="24"/>
          <w:szCs w:val="24"/>
          <w:highlight w:val="none"/>
        </w:rPr>
        <w:t>集群式分布部署：采用集群式分布部署，便于横向扩展，支持高并发，抗压能力强。</w:t>
      </w:r>
    </w:p>
    <w:p w14:paraId="1A554D00">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.1.10</w:t>
      </w:r>
      <w:r>
        <w:rPr>
          <w:rFonts w:hint="eastAsia" w:ascii="宋体" w:hAnsi="宋体" w:eastAsia="宋体" w:cs="宋体"/>
          <w:sz w:val="24"/>
          <w:szCs w:val="24"/>
          <w:highlight w:val="none"/>
        </w:rPr>
        <w:t>自主高效协议：高效的通讯协议，适用范围广，有非常好的实用性、安全性、健壮性。 此外，平台还具备大数据分析、互联互通、远程升级、生态应用等功能。</w:t>
      </w:r>
    </w:p>
    <w:p w14:paraId="2752DD22">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.1.11</w:t>
      </w:r>
      <w:r>
        <w:rPr>
          <w:rFonts w:hint="eastAsia" w:ascii="宋体" w:hAnsi="宋体" w:eastAsia="宋体" w:cs="宋体"/>
          <w:sz w:val="24"/>
          <w:szCs w:val="24"/>
          <w:highlight w:val="none"/>
        </w:rPr>
        <w:t>灰度升级：系统升级过程中，不影响正常的用户使用。</w:t>
      </w:r>
    </w:p>
    <w:p w14:paraId="3B40FC1E">
      <w:pPr>
        <w:pStyle w:val="9"/>
        <w:spacing w:before="0" w:after="0" w:line="360" w:lineRule="auto"/>
        <w:rPr>
          <w:rFonts w:hint="eastAsia" w:ascii="宋体" w:hAnsi="宋体" w:eastAsia="宋体" w:cs="宋体"/>
          <w:highlight w:val="none"/>
        </w:rPr>
      </w:pPr>
      <w:r>
        <w:rPr>
          <w:rFonts w:hint="eastAsia" w:ascii="宋体" w:hAnsi="宋体" w:eastAsia="宋体" w:cs="宋体"/>
          <w:highlight w:val="none"/>
          <w:lang w:val="en-US" w:eastAsia="zh-CN"/>
        </w:rPr>
        <w:t>4</w:t>
      </w:r>
      <w:r>
        <w:rPr>
          <w:rFonts w:hint="eastAsia" w:ascii="宋体" w:hAnsi="宋体" w:eastAsia="宋体" w:cs="宋体"/>
          <w:highlight w:val="none"/>
        </w:rPr>
        <w:t>.2</w:t>
      </w:r>
      <w:r>
        <w:rPr>
          <w:rFonts w:hint="eastAsia" w:ascii="宋体" w:hAnsi="宋体" w:eastAsia="宋体" w:cs="宋体"/>
          <w:highlight w:val="none"/>
        </w:rPr>
        <w:t xml:space="preserve"> APP</w:t>
      </w:r>
      <w:r>
        <w:rPr>
          <w:rFonts w:hint="eastAsia" w:ascii="宋体" w:hAnsi="宋体" w:eastAsia="宋体" w:cs="宋体"/>
          <w:highlight w:val="none"/>
        </w:rPr>
        <w:t>或小程序业务系统</w:t>
      </w:r>
    </w:p>
    <w:p w14:paraId="6AD9D762">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.2.1</w:t>
      </w:r>
      <w:r>
        <w:rPr>
          <w:rFonts w:hint="eastAsia" w:ascii="宋体" w:hAnsi="宋体" w:eastAsia="宋体" w:cs="宋体"/>
          <w:sz w:val="24"/>
          <w:szCs w:val="24"/>
          <w:highlight w:val="none"/>
        </w:rPr>
        <w:t>用户端功能包括：桩的实时信息查询、导航、充值扫码充电、充电记录和统计、开票申请、客服功能等</w:t>
      </w:r>
    </w:p>
    <w:p w14:paraId="17F7D7D3">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.2.2</w:t>
      </w:r>
      <w:r>
        <w:rPr>
          <w:rFonts w:hint="eastAsia" w:ascii="宋体" w:hAnsi="宋体" w:eastAsia="宋体" w:cs="宋体"/>
          <w:sz w:val="24"/>
          <w:szCs w:val="24"/>
          <w:highlight w:val="none"/>
        </w:rPr>
        <w:t>用户管理：用户详情查询、用户状态、消费记录等信息的管理和查询</w:t>
      </w:r>
    </w:p>
    <w:p w14:paraId="3061BBD2">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.2.3</w:t>
      </w:r>
      <w:r>
        <w:rPr>
          <w:rFonts w:hint="eastAsia" w:ascii="宋体" w:hAnsi="宋体" w:eastAsia="宋体" w:cs="宋体"/>
          <w:sz w:val="24"/>
          <w:szCs w:val="24"/>
          <w:highlight w:val="none"/>
        </w:rPr>
        <w:t>客服管理：用户在线问题反馈及客服在线处理</w:t>
      </w:r>
    </w:p>
    <w:p w14:paraId="33E5C15A">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多权限管理：设置不同管理员角色和管理权限</w:t>
      </w:r>
    </w:p>
    <w:p w14:paraId="04C24C24">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车型维护：可设置支持的全部车型供用户选择</w:t>
      </w:r>
    </w:p>
    <w:p w14:paraId="17F202EC">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统计报表：提供各类用户和充电</w:t>
      </w:r>
      <w:r>
        <w:rPr>
          <w:rFonts w:hint="eastAsia" w:ascii="宋体" w:hAnsi="宋体" w:eastAsia="宋体" w:cs="宋体"/>
          <w:sz w:val="24"/>
          <w:szCs w:val="24"/>
        </w:rPr>
        <w:t>行为的详细报表，支持文件导出</w:t>
      </w:r>
    </w:p>
    <w:p w14:paraId="6E491F2F">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.2.</w:t>
      </w:r>
      <w:r>
        <w:rPr>
          <w:rFonts w:hint="eastAsia" w:ascii="宋体" w:hAnsi="宋体" w:eastAsia="宋体" w:cs="宋体"/>
          <w:sz w:val="24"/>
          <w:szCs w:val="24"/>
          <w:lang w:val="en-US" w:eastAsia="zh-CN"/>
        </w:rPr>
        <w:t>7</w:t>
      </w:r>
      <w:r>
        <w:rPr>
          <w:rFonts w:hint="eastAsia" w:ascii="宋体" w:hAnsi="宋体" w:eastAsia="宋体" w:cs="宋体"/>
          <w:sz w:val="24"/>
          <w:szCs w:val="24"/>
        </w:rPr>
        <w:t>发票管理：提供发票申请和开票管理</w:t>
      </w:r>
    </w:p>
    <w:p w14:paraId="4FE4500E">
      <w:pPr>
        <w:pStyle w:val="9"/>
        <w:spacing w:before="0" w:after="0" w:line="360" w:lineRule="auto"/>
        <w:rPr>
          <w:rFonts w:hint="eastAsia" w:ascii="宋体" w:hAnsi="宋体" w:eastAsia="宋体" w:cs="宋体"/>
        </w:rPr>
      </w:pPr>
      <w:r>
        <w:rPr>
          <w:rFonts w:hint="eastAsia" w:ascii="宋体" w:hAnsi="宋体" w:eastAsia="宋体" w:cs="宋体"/>
          <w:lang w:val="en-US" w:eastAsia="zh-CN"/>
        </w:rPr>
        <w:t>4</w:t>
      </w:r>
      <w:r>
        <w:rPr>
          <w:rFonts w:hint="eastAsia" w:ascii="宋体" w:hAnsi="宋体" w:eastAsia="宋体" w:cs="宋体"/>
        </w:rPr>
        <w:t xml:space="preserve">.3 </w:t>
      </w:r>
      <w:r>
        <w:rPr>
          <w:rFonts w:hint="eastAsia" w:ascii="宋体" w:hAnsi="宋体" w:eastAsia="宋体" w:cs="宋体"/>
        </w:rPr>
        <w:t>设备管理系统</w:t>
      </w:r>
    </w:p>
    <w:p w14:paraId="5D105789">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.3</w:t>
      </w:r>
      <w:r>
        <w:rPr>
          <w:rFonts w:hint="eastAsia" w:ascii="宋体" w:hAnsi="宋体" w:eastAsia="宋体" w:cs="宋体"/>
          <w:sz w:val="24"/>
          <w:szCs w:val="24"/>
        </w:rPr>
        <w:t>.1设备详细信息管理：设备类型、数量、位置、功率、停车信息、状态修改、订单列表等</w:t>
      </w:r>
    </w:p>
    <w:p w14:paraId="16DA23B2">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.3.2财务管理：对账功能，第三方财务管理</w:t>
      </w:r>
    </w:p>
    <w:p w14:paraId="4608F7DF">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.3.3远程升级：远程升级充电桩程序</w:t>
      </w:r>
    </w:p>
    <w:p w14:paraId="20E0129D">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.3.4异常订单修复</w:t>
      </w:r>
    </w:p>
    <w:p w14:paraId="3C2A98B7">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.3.5多权限管理：设置不同管理员角色和管理权限</w:t>
      </w:r>
    </w:p>
    <w:p w14:paraId="570F5EAA">
      <w:pPr>
        <w:pStyle w:val="9"/>
        <w:spacing w:before="0" w:after="0" w:line="360" w:lineRule="auto"/>
        <w:rPr>
          <w:rFonts w:hint="eastAsia" w:ascii="宋体" w:hAnsi="宋体" w:eastAsia="宋体" w:cs="宋体"/>
        </w:rPr>
      </w:pPr>
      <w:r>
        <w:rPr>
          <w:rFonts w:hint="eastAsia" w:ascii="宋体" w:hAnsi="宋体" w:eastAsia="宋体" w:cs="宋体"/>
          <w:lang w:val="en-US" w:eastAsia="zh-CN"/>
        </w:rPr>
        <w:t>4</w:t>
      </w:r>
      <w:r>
        <w:rPr>
          <w:rFonts w:hint="eastAsia" w:ascii="宋体" w:hAnsi="宋体" w:eastAsia="宋体" w:cs="宋体"/>
        </w:rPr>
        <w:t xml:space="preserve">.4 </w:t>
      </w:r>
      <w:r>
        <w:rPr>
          <w:rFonts w:hint="eastAsia" w:ascii="宋体" w:hAnsi="宋体" w:eastAsia="宋体" w:cs="宋体"/>
        </w:rPr>
        <w:t>监控系统</w:t>
      </w:r>
    </w:p>
    <w:p w14:paraId="73E88F86">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.4.1实时监控：地图模式展示所有充电桩状态，实时展现充电中充电桩的各类参数，实时展示当天的充电量、充电次数，实时给出24小时内充电量、充电次数的曲线图；</w:t>
      </w:r>
    </w:p>
    <w:p w14:paraId="30C06811">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.4.2对平台各类充电设备，按不同属性统计分析，给出图表</w:t>
      </w:r>
    </w:p>
    <w:p w14:paraId="76B97320">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.4.3可以检索和查询所有充电设备，目前的状态，以及所有设备的日志和充电订单</w:t>
      </w:r>
    </w:p>
    <w:p w14:paraId="2D2B9413">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.4.4记录所有订单的详细数据，包括：电量、电量、电量、SOC、温度的曲线，以及业务系统名称、设备型号和版本号、车辆信息、开始和结束时间、停止原因，扣费情况等。</w:t>
      </w:r>
    </w:p>
    <w:p w14:paraId="46A73651">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.4.5实现视频监控</w:t>
      </w:r>
    </w:p>
    <w:p w14:paraId="49F4B6B4">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.4.5.1整体和单个充电站的日、月运行情况分析</w:t>
      </w:r>
    </w:p>
    <w:p w14:paraId="196AA15D">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.4.5.2用户量分析：用户总量变化情况、新增用户情况等</w:t>
      </w:r>
    </w:p>
    <w:p w14:paraId="77120A81">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.4.5.3多维度自定义报表</w:t>
      </w:r>
    </w:p>
    <w:p w14:paraId="6D9BF1B5">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.4.5.4自动告警功能</w:t>
      </w:r>
    </w:p>
    <w:p w14:paraId="455CD79A">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.4.5.5告警记录分析</w:t>
      </w:r>
    </w:p>
    <w:p w14:paraId="14A25C6D">
      <w:pPr>
        <w:pStyle w:val="9"/>
        <w:spacing w:before="0" w:after="0" w:line="360" w:lineRule="auto"/>
        <w:rPr>
          <w:rFonts w:hint="eastAsia" w:ascii="宋体" w:hAnsi="宋体" w:eastAsia="宋体" w:cs="宋体"/>
        </w:rPr>
      </w:pPr>
      <w:r>
        <w:rPr>
          <w:rFonts w:hint="eastAsia" w:ascii="宋体" w:hAnsi="宋体" w:eastAsia="宋体" w:cs="宋体"/>
          <w:lang w:val="en-US" w:eastAsia="zh-CN"/>
        </w:rPr>
        <w:t>4</w:t>
      </w:r>
      <w:r>
        <w:rPr>
          <w:rFonts w:hint="eastAsia" w:ascii="宋体" w:hAnsi="宋体" w:eastAsia="宋体" w:cs="宋体"/>
        </w:rPr>
        <w:t xml:space="preserve">.5 </w:t>
      </w:r>
      <w:r>
        <w:rPr>
          <w:rFonts w:hint="eastAsia" w:ascii="宋体" w:hAnsi="宋体" w:eastAsia="宋体" w:cs="宋体"/>
        </w:rPr>
        <w:t>其他要求</w:t>
      </w:r>
    </w:p>
    <w:p w14:paraId="31C8BA46">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.5</w:t>
      </w:r>
      <w:r>
        <w:rPr>
          <w:rFonts w:hint="eastAsia" w:ascii="宋体" w:hAnsi="宋体" w:eastAsia="宋体" w:cs="宋体"/>
          <w:sz w:val="24"/>
          <w:szCs w:val="24"/>
        </w:rPr>
        <w:t>.1限定充电：该系统仅供本小区的业主使用，无账号的人员择无法启动充电；</w:t>
      </w:r>
    </w:p>
    <w:p w14:paraId="312FFE32">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.5</w:t>
      </w:r>
      <w:r>
        <w:rPr>
          <w:rFonts w:hint="eastAsia" w:ascii="宋体" w:hAnsi="宋体" w:eastAsia="宋体" w:cs="宋体"/>
          <w:sz w:val="24"/>
          <w:szCs w:val="24"/>
        </w:rPr>
        <w:t>.2限定消费额度：可通过后台设置电桩充电价格，分时段设置电桩充电价格；</w:t>
      </w:r>
    </w:p>
    <w:p w14:paraId="491E4434">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.5</w:t>
      </w:r>
      <w:r>
        <w:rPr>
          <w:rFonts w:hint="eastAsia" w:ascii="宋体" w:hAnsi="宋体" w:eastAsia="宋体" w:cs="宋体"/>
          <w:sz w:val="24"/>
          <w:szCs w:val="24"/>
        </w:rPr>
        <w:t>.3运营管理系统可根据招标方使用情况、使用实际需要，进行持续性迭代升级、丰富功能，以确保系统稳定性、便捷性、先进性。</w:t>
      </w:r>
    </w:p>
    <w:p w14:paraId="3919947B">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.5</w:t>
      </w:r>
      <w:r>
        <w:rPr>
          <w:rFonts w:hint="eastAsia" w:ascii="宋体" w:hAnsi="宋体" w:eastAsia="宋体" w:cs="宋体"/>
          <w:sz w:val="24"/>
          <w:szCs w:val="24"/>
        </w:rPr>
        <w:t>.4无障碍充电：平台下的充电桩可以使用手机扫码充电，充电结束之后自动结算。</w:t>
      </w:r>
    </w:p>
    <w:p w14:paraId="46AAE9CC">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.5</w:t>
      </w:r>
      <w:r>
        <w:rPr>
          <w:rFonts w:hint="eastAsia" w:ascii="宋体" w:hAnsi="宋体" w:eastAsia="宋体" w:cs="宋体"/>
          <w:sz w:val="24"/>
          <w:szCs w:val="24"/>
        </w:rPr>
        <w:t>.5在启动充电前也可以预约充电，设定好时间平台自动启动和停止充电，让充电变的更智能。</w:t>
      </w:r>
    </w:p>
    <w:p w14:paraId="6430CA74">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.5</w:t>
      </w:r>
      <w:r>
        <w:rPr>
          <w:rFonts w:hint="eastAsia" w:ascii="宋体" w:hAnsi="宋体" w:eastAsia="宋体" w:cs="宋体"/>
          <w:sz w:val="24"/>
          <w:szCs w:val="24"/>
        </w:rPr>
        <w:t>.6控制功能: 实现对充电桩启停的控制。</w:t>
      </w:r>
    </w:p>
    <w:p w14:paraId="605E993C">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.5</w:t>
      </w:r>
      <w:r>
        <w:rPr>
          <w:rFonts w:hint="eastAsia" w:ascii="宋体" w:hAnsi="宋体" w:eastAsia="宋体" w:cs="宋体"/>
          <w:sz w:val="24"/>
          <w:szCs w:val="24"/>
        </w:rPr>
        <w:t>.7充电设备配置平台联网通讯功能,数据记录与上传功能。主要上传数据项包括充电开始时间、充电结束时间、充电电量、起始soc值、输出电压、输出电流、充电时长、充电设备实时状态（未连接、空闲、充电、预约锁定、故障等）、刷卡信息、电表读数等。</w:t>
      </w:r>
    </w:p>
    <w:p w14:paraId="0E1DBDF3">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.5</w:t>
      </w:r>
      <w:r>
        <w:rPr>
          <w:rFonts w:hint="eastAsia" w:ascii="宋体" w:hAnsi="宋体" w:eastAsia="宋体" w:cs="宋体"/>
          <w:sz w:val="24"/>
          <w:szCs w:val="24"/>
        </w:rPr>
        <w:t>.8根据设定的同时功率阈值，对所管辖的充电设备进行有序调控和管理。</w:t>
      </w:r>
    </w:p>
    <w:p w14:paraId="00416876">
      <w:pPr>
        <w:pStyle w:val="2"/>
        <w:rPr>
          <w:rFonts w:hint="eastAsia" w:ascii="宋体" w:hAnsi="宋体" w:eastAsia="宋体" w:cs="宋体"/>
          <w:sz w:val="24"/>
          <w:szCs w:val="24"/>
        </w:rPr>
      </w:pPr>
    </w:p>
    <w:p w14:paraId="6C8AE5C2">
      <w:pPr>
        <w:rPr>
          <w:rFonts w:hint="eastAsia" w:ascii="宋体" w:hAnsi="宋体" w:eastAsia="宋体" w:cs="宋体"/>
          <w:sz w:val="24"/>
          <w:szCs w:val="24"/>
        </w:rPr>
      </w:pPr>
    </w:p>
    <w:p w14:paraId="35DFCE61">
      <w:pPr>
        <w:pStyle w:val="2"/>
        <w:rPr>
          <w:rFonts w:hint="eastAsia" w:ascii="宋体" w:hAnsi="宋体" w:eastAsia="宋体" w:cs="宋体"/>
          <w:sz w:val="24"/>
          <w:szCs w:val="24"/>
        </w:rPr>
      </w:pPr>
    </w:p>
    <w:p w14:paraId="1CEB268C">
      <w:pPr>
        <w:rPr>
          <w:rFonts w:hint="eastAsia" w:ascii="宋体" w:hAnsi="宋体" w:eastAsia="宋体" w:cs="宋体"/>
          <w:sz w:val="24"/>
          <w:szCs w:val="24"/>
        </w:rPr>
      </w:pPr>
    </w:p>
    <w:p w14:paraId="746F9220">
      <w:pPr>
        <w:pStyle w:val="2"/>
        <w:rPr>
          <w:rFonts w:hint="eastAsia" w:ascii="宋体" w:hAnsi="宋体" w:eastAsia="宋体" w:cs="宋体"/>
          <w:sz w:val="24"/>
          <w:szCs w:val="24"/>
        </w:rPr>
      </w:pPr>
    </w:p>
    <w:p w14:paraId="3BF8FC22">
      <w:pPr>
        <w:rPr>
          <w:rFonts w:hint="eastAsia" w:ascii="宋体" w:hAnsi="宋体" w:eastAsia="宋体" w:cs="宋体"/>
          <w:sz w:val="24"/>
          <w:szCs w:val="24"/>
        </w:rPr>
      </w:pPr>
    </w:p>
    <w:p w14:paraId="1E0CE10A">
      <w:pPr>
        <w:pStyle w:val="2"/>
        <w:rPr>
          <w:rFonts w:hint="eastAsia" w:ascii="宋体" w:hAnsi="宋体" w:eastAsia="宋体" w:cs="宋体"/>
          <w:sz w:val="24"/>
          <w:szCs w:val="24"/>
        </w:rPr>
      </w:pPr>
    </w:p>
    <w:p w14:paraId="6A321DBB">
      <w:pPr>
        <w:rPr>
          <w:rFonts w:hint="eastAsia" w:ascii="宋体" w:hAnsi="宋体" w:eastAsia="宋体" w:cs="宋体"/>
          <w:sz w:val="24"/>
          <w:szCs w:val="24"/>
        </w:rPr>
      </w:pPr>
    </w:p>
    <w:p w14:paraId="4D4E509D">
      <w:pPr>
        <w:pStyle w:val="2"/>
        <w:rPr>
          <w:rFonts w:hint="eastAsia" w:ascii="宋体" w:hAnsi="宋体" w:eastAsia="宋体" w:cs="宋体"/>
          <w:sz w:val="24"/>
          <w:szCs w:val="24"/>
        </w:rPr>
      </w:pPr>
    </w:p>
    <w:p w14:paraId="5EE5F482">
      <w:pPr>
        <w:rPr>
          <w:rFonts w:hint="eastAsia" w:ascii="宋体" w:hAnsi="宋体" w:eastAsia="宋体" w:cs="宋体"/>
          <w:sz w:val="24"/>
          <w:szCs w:val="24"/>
        </w:rPr>
      </w:pPr>
    </w:p>
    <w:p w14:paraId="30ABD966">
      <w:pPr>
        <w:pStyle w:val="2"/>
        <w:rPr>
          <w:rFonts w:hint="eastAsia" w:ascii="宋体" w:hAnsi="宋体" w:eastAsia="宋体" w:cs="宋体"/>
          <w:sz w:val="24"/>
          <w:szCs w:val="24"/>
        </w:rPr>
      </w:pPr>
    </w:p>
    <w:p w14:paraId="36B5B05C">
      <w:pPr>
        <w:rPr>
          <w:rFonts w:hint="eastAsia" w:ascii="宋体" w:hAnsi="宋体" w:eastAsia="宋体" w:cs="宋体"/>
          <w:sz w:val="24"/>
          <w:szCs w:val="24"/>
        </w:rPr>
      </w:pPr>
    </w:p>
    <w:p w14:paraId="272CB355">
      <w:pPr>
        <w:pStyle w:val="2"/>
        <w:rPr>
          <w:rFonts w:hint="eastAsia" w:ascii="宋体" w:hAnsi="宋体" w:eastAsia="宋体" w:cs="宋体"/>
          <w:sz w:val="24"/>
          <w:szCs w:val="24"/>
        </w:rPr>
      </w:pPr>
    </w:p>
    <w:p w14:paraId="43468A53">
      <w:pPr>
        <w:rPr>
          <w:rFonts w:hint="eastAsia" w:ascii="宋体" w:hAnsi="宋体" w:eastAsia="宋体" w:cs="宋体"/>
          <w:sz w:val="24"/>
          <w:szCs w:val="24"/>
        </w:rPr>
      </w:pPr>
    </w:p>
    <w:p w14:paraId="2E817471">
      <w:pPr>
        <w:pStyle w:val="2"/>
        <w:rPr>
          <w:rFonts w:hint="eastAsia" w:ascii="宋体" w:hAnsi="宋体" w:eastAsia="宋体" w:cs="宋体"/>
          <w:sz w:val="24"/>
          <w:szCs w:val="24"/>
        </w:rPr>
      </w:pPr>
    </w:p>
    <w:p w14:paraId="731C995A">
      <w:pPr>
        <w:rPr>
          <w:rFonts w:hint="eastAsia" w:ascii="宋体" w:hAnsi="宋体" w:eastAsia="宋体" w:cs="宋体"/>
          <w:sz w:val="24"/>
          <w:szCs w:val="24"/>
        </w:rPr>
      </w:pPr>
    </w:p>
    <w:p w14:paraId="5AC77804">
      <w:pPr>
        <w:pStyle w:val="2"/>
        <w:rPr>
          <w:rFonts w:hint="eastAsia" w:ascii="宋体" w:hAnsi="宋体" w:eastAsia="宋体" w:cs="宋体"/>
          <w:sz w:val="24"/>
          <w:szCs w:val="24"/>
        </w:rPr>
      </w:pPr>
    </w:p>
    <w:p w14:paraId="60A914F7">
      <w:pPr>
        <w:rPr>
          <w:rFonts w:hint="eastAsia" w:ascii="宋体" w:hAnsi="宋体" w:eastAsia="宋体" w:cs="宋体"/>
          <w:sz w:val="24"/>
          <w:szCs w:val="24"/>
        </w:rPr>
      </w:pPr>
    </w:p>
    <w:p w14:paraId="1E29D393">
      <w:pPr>
        <w:pStyle w:val="2"/>
        <w:rPr>
          <w:rFonts w:hint="eastAsia" w:ascii="宋体" w:hAnsi="宋体" w:eastAsia="宋体" w:cs="宋体"/>
          <w:sz w:val="24"/>
          <w:szCs w:val="24"/>
        </w:rPr>
      </w:pPr>
    </w:p>
    <w:p w14:paraId="0B6FBF58">
      <w:pPr>
        <w:rPr>
          <w:rFonts w:hint="eastAsia" w:ascii="宋体" w:hAnsi="宋体" w:eastAsia="宋体" w:cs="宋体"/>
          <w:sz w:val="24"/>
          <w:szCs w:val="24"/>
        </w:rPr>
      </w:pPr>
    </w:p>
    <w:p w14:paraId="53B532F2">
      <w:pPr>
        <w:pStyle w:val="2"/>
        <w:rPr>
          <w:rFonts w:hint="eastAsia" w:ascii="宋体" w:hAnsi="宋体" w:eastAsia="宋体" w:cs="宋体"/>
          <w:sz w:val="24"/>
          <w:szCs w:val="24"/>
        </w:rPr>
      </w:pPr>
    </w:p>
    <w:p w14:paraId="62096EE3">
      <w:pPr>
        <w:rPr>
          <w:rFonts w:hint="eastAsia" w:ascii="宋体" w:hAnsi="宋体" w:eastAsia="宋体" w:cs="宋体"/>
          <w:sz w:val="24"/>
          <w:szCs w:val="24"/>
        </w:rPr>
      </w:pPr>
    </w:p>
    <w:p w14:paraId="0B2B16DE">
      <w:pPr>
        <w:pStyle w:val="2"/>
        <w:rPr>
          <w:rFonts w:hint="eastAsia" w:ascii="宋体" w:hAnsi="宋体" w:eastAsia="宋体" w:cs="宋体"/>
          <w:sz w:val="24"/>
          <w:szCs w:val="24"/>
        </w:rPr>
      </w:pPr>
    </w:p>
    <w:p w14:paraId="62122D44">
      <w:pPr>
        <w:rPr>
          <w:rFonts w:hint="eastAsia" w:ascii="宋体" w:hAnsi="宋体" w:eastAsia="宋体" w:cs="宋体"/>
          <w:sz w:val="24"/>
          <w:szCs w:val="24"/>
        </w:rPr>
      </w:pPr>
    </w:p>
    <w:p w14:paraId="41E02BE4">
      <w:pPr>
        <w:pStyle w:val="2"/>
        <w:rPr>
          <w:rFonts w:hint="eastAsia" w:ascii="宋体" w:hAnsi="宋体" w:eastAsia="宋体" w:cs="宋体"/>
          <w:sz w:val="24"/>
          <w:szCs w:val="24"/>
        </w:rPr>
      </w:pPr>
    </w:p>
    <w:p w14:paraId="2A781F01">
      <w:pPr>
        <w:rPr>
          <w:rFonts w:hint="eastAsia" w:ascii="宋体" w:hAnsi="宋体" w:eastAsia="宋体" w:cs="宋体"/>
          <w:sz w:val="24"/>
          <w:szCs w:val="24"/>
        </w:rPr>
      </w:pPr>
    </w:p>
    <w:p w14:paraId="391EE33D">
      <w:pPr>
        <w:pStyle w:val="2"/>
        <w:rPr>
          <w:rFonts w:hint="eastAsia" w:ascii="宋体" w:hAnsi="宋体" w:eastAsia="宋体" w:cs="宋体"/>
          <w:sz w:val="24"/>
          <w:szCs w:val="24"/>
        </w:rPr>
      </w:pPr>
    </w:p>
    <w:p w14:paraId="0AFD4809">
      <w:pPr>
        <w:rPr>
          <w:rFonts w:hint="eastAsia" w:ascii="宋体" w:hAnsi="宋体" w:eastAsia="宋体" w:cs="宋体"/>
          <w:sz w:val="24"/>
          <w:szCs w:val="24"/>
        </w:rPr>
      </w:pPr>
    </w:p>
    <w:p w14:paraId="43E9AA34">
      <w:pPr>
        <w:pStyle w:val="2"/>
        <w:rPr>
          <w:rFonts w:hint="eastAsia" w:ascii="宋体" w:hAnsi="宋体" w:eastAsia="宋体" w:cs="宋体"/>
          <w:sz w:val="24"/>
          <w:szCs w:val="24"/>
        </w:rPr>
      </w:pPr>
    </w:p>
    <w:p w14:paraId="2EE49B35">
      <w:pPr>
        <w:rPr>
          <w:rFonts w:hint="eastAsia" w:ascii="宋体" w:hAnsi="宋体" w:eastAsia="宋体" w:cs="宋体"/>
          <w:sz w:val="24"/>
          <w:szCs w:val="24"/>
        </w:rPr>
      </w:pPr>
    </w:p>
    <w:p w14:paraId="288A9488">
      <w:pPr>
        <w:pStyle w:val="2"/>
        <w:rPr>
          <w:rFonts w:hint="eastAsia" w:ascii="宋体" w:hAnsi="宋体" w:eastAsia="宋体" w:cs="宋体"/>
        </w:rPr>
      </w:pPr>
    </w:p>
    <w:p w14:paraId="28112F7E">
      <w:pPr>
        <w:pStyle w:val="4"/>
        <w:spacing w:before="0" w:after="0" w:line="360" w:lineRule="auto"/>
        <w:rPr>
          <w:rFonts w:hint="eastAsia" w:ascii="宋体" w:hAnsi="宋体" w:eastAsia="宋体" w:cs="宋体"/>
        </w:rPr>
      </w:pPr>
      <w:r>
        <w:rPr>
          <w:rFonts w:hint="eastAsia" w:ascii="宋体" w:hAnsi="宋体" w:eastAsia="宋体" w:cs="宋体"/>
          <w:lang w:val="en-US" w:eastAsia="zh-CN"/>
        </w:rPr>
        <w:t>5</w:t>
      </w:r>
      <w:r>
        <w:rPr>
          <w:rFonts w:hint="eastAsia" w:ascii="宋体" w:hAnsi="宋体" w:eastAsia="宋体" w:cs="宋体"/>
        </w:rPr>
        <w:t>.</w:t>
      </w:r>
      <w:r>
        <w:rPr>
          <w:rFonts w:hint="eastAsia" w:ascii="宋体" w:hAnsi="宋体" w:eastAsia="宋体" w:cs="宋体"/>
        </w:rPr>
        <w:t>有序充电</w:t>
      </w:r>
    </w:p>
    <w:p w14:paraId="2FE47AA1">
      <w:pPr>
        <w:pStyle w:val="9"/>
        <w:spacing w:before="0" w:after="0" w:line="360" w:lineRule="auto"/>
        <w:rPr>
          <w:rFonts w:hint="eastAsia" w:ascii="宋体" w:hAnsi="宋体" w:eastAsia="宋体" w:cs="宋体"/>
          <w:highlight w:val="none"/>
        </w:rPr>
      </w:pPr>
      <w:r>
        <w:rPr>
          <w:rFonts w:hint="eastAsia" w:ascii="宋体" w:hAnsi="宋体" w:eastAsia="宋体" w:cs="宋体"/>
          <w:highlight w:val="none"/>
          <w:lang w:val="en-US" w:eastAsia="zh-CN"/>
        </w:rPr>
        <w:t>5</w:t>
      </w:r>
      <w:r>
        <w:rPr>
          <w:rFonts w:hint="eastAsia" w:ascii="宋体" w:hAnsi="宋体" w:eastAsia="宋体" w:cs="宋体"/>
          <w:highlight w:val="none"/>
        </w:rPr>
        <w:t xml:space="preserve">.1 </w:t>
      </w:r>
      <w:r>
        <w:rPr>
          <w:rFonts w:hint="eastAsia" w:ascii="宋体" w:hAnsi="宋体" w:eastAsia="宋体" w:cs="宋体"/>
          <w:highlight w:val="none"/>
        </w:rPr>
        <w:t>有序充电功能要求</w:t>
      </w:r>
    </w:p>
    <w:p w14:paraId="5D1467A3">
      <w:pPr>
        <w:widowControl/>
        <w:spacing w:line="360" w:lineRule="auto"/>
        <w:ind w:firstLine="480" w:firstLineChars="200"/>
        <w:jc w:val="left"/>
        <w:rPr>
          <w:rFonts w:hint="eastAsia" w:ascii="宋体" w:hAnsi="宋体" w:eastAsia="宋体" w:cs="宋体"/>
          <w:sz w:val="24"/>
          <w:szCs w:val="28"/>
          <w:highlight w:val="none"/>
          <w:lang w:val="zh-CN"/>
        </w:rPr>
      </w:pPr>
      <w:r>
        <w:rPr>
          <w:rFonts w:hint="eastAsia" w:ascii="宋体" w:hAnsi="宋体" w:eastAsia="宋体" w:cs="宋体"/>
          <w:sz w:val="24"/>
          <w:szCs w:val="28"/>
          <w:highlight w:val="none"/>
          <w:lang w:val="en-US" w:eastAsia="zh-CN"/>
        </w:rPr>
        <w:t>5</w:t>
      </w:r>
      <w:r>
        <w:rPr>
          <w:rFonts w:hint="eastAsia" w:ascii="宋体" w:hAnsi="宋体" w:eastAsia="宋体" w:cs="宋体"/>
          <w:sz w:val="24"/>
          <w:szCs w:val="28"/>
          <w:highlight w:val="none"/>
          <w:lang w:val="zh-CN"/>
        </w:rPr>
        <w:t xml:space="preserve">.1.1 </w:t>
      </w:r>
      <w:r>
        <w:rPr>
          <w:rFonts w:hint="eastAsia" w:ascii="宋体" w:hAnsi="宋体" w:eastAsia="宋体" w:cs="宋体"/>
          <w:sz w:val="24"/>
          <w:szCs w:val="28"/>
          <w:highlight w:val="none"/>
          <w:lang w:val="zh-CN"/>
        </w:rPr>
        <w:t>交流充电桩需具备有序充电功能。</w:t>
      </w:r>
    </w:p>
    <w:p w14:paraId="2F46C72C">
      <w:pPr>
        <w:widowControl/>
        <w:spacing w:line="360" w:lineRule="auto"/>
        <w:ind w:firstLine="480" w:firstLineChars="200"/>
        <w:jc w:val="left"/>
        <w:rPr>
          <w:rFonts w:hint="eastAsia" w:ascii="宋体" w:hAnsi="宋体" w:eastAsia="宋体" w:cs="宋体"/>
          <w:sz w:val="24"/>
          <w:szCs w:val="28"/>
          <w:lang w:val="zh-CN"/>
        </w:rPr>
      </w:pPr>
      <w:r>
        <w:rPr>
          <w:rFonts w:hint="eastAsia" w:ascii="宋体" w:hAnsi="宋体" w:eastAsia="宋体" w:cs="宋体"/>
          <w:sz w:val="24"/>
          <w:szCs w:val="28"/>
          <w:highlight w:val="none"/>
          <w:lang w:val="en-US" w:eastAsia="zh-CN"/>
        </w:rPr>
        <w:t>5</w:t>
      </w:r>
      <w:r>
        <w:rPr>
          <w:rFonts w:hint="eastAsia" w:ascii="宋体" w:hAnsi="宋体" w:eastAsia="宋体" w:cs="宋体"/>
          <w:sz w:val="24"/>
          <w:szCs w:val="28"/>
          <w:highlight w:val="none"/>
          <w:lang w:val="zh-CN"/>
        </w:rPr>
        <w:t xml:space="preserve">.1.2 </w:t>
      </w:r>
      <w:r>
        <w:rPr>
          <w:rFonts w:hint="eastAsia" w:ascii="宋体" w:hAnsi="宋体" w:eastAsia="宋体" w:cs="宋体"/>
          <w:sz w:val="24"/>
          <w:szCs w:val="28"/>
          <w:highlight w:val="none"/>
          <w:lang w:val="zh-CN"/>
        </w:rPr>
        <w:t>充电桩监测功能：对</w:t>
      </w:r>
      <w:r>
        <w:rPr>
          <w:rFonts w:hint="eastAsia" w:ascii="宋体" w:hAnsi="宋体" w:eastAsia="宋体" w:cs="宋体"/>
          <w:sz w:val="24"/>
          <w:szCs w:val="28"/>
          <w:lang w:val="zh-CN"/>
        </w:rPr>
        <w:t>充电桩进行在线监测，及时上报充电桩状态。</w:t>
      </w:r>
    </w:p>
    <w:p w14:paraId="74ABA046">
      <w:pPr>
        <w:widowControl/>
        <w:spacing w:line="360" w:lineRule="auto"/>
        <w:ind w:firstLine="480" w:firstLineChars="200"/>
        <w:jc w:val="left"/>
        <w:rPr>
          <w:rFonts w:hint="eastAsia" w:ascii="宋体" w:hAnsi="宋体" w:eastAsia="宋体" w:cs="宋体"/>
          <w:sz w:val="24"/>
          <w:szCs w:val="28"/>
          <w:lang w:val="zh-CN"/>
        </w:rPr>
      </w:pPr>
      <w:r>
        <w:rPr>
          <w:rFonts w:hint="eastAsia" w:ascii="宋体" w:hAnsi="宋体" w:eastAsia="宋体" w:cs="宋体"/>
          <w:sz w:val="24"/>
          <w:szCs w:val="28"/>
          <w:lang w:val="en-US" w:eastAsia="zh-CN"/>
        </w:rPr>
        <w:t>5</w:t>
      </w:r>
      <w:r>
        <w:rPr>
          <w:rFonts w:hint="eastAsia" w:ascii="宋体" w:hAnsi="宋体" w:eastAsia="宋体" w:cs="宋体"/>
          <w:sz w:val="24"/>
          <w:szCs w:val="28"/>
          <w:lang w:val="zh-CN"/>
        </w:rPr>
        <w:t xml:space="preserve">.1.3 </w:t>
      </w:r>
      <w:r>
        <w:rPr>
          <w:rFonts w:hint="eastAsia" w:ascii="宋体" w:hAnsi="宋体" w:eastAsia="宋体" w:cs="宋体"/>
          <w:sz w:val="24"/>
          <w:szCs w:val="28"/>
          <w:lang w:val="zh-CN"/>
        </w:rPr>
        <w:t>充电桩控制功能：接受后台管理系统的充电启停指令，并控制充电桩进行充电启停。</w:t>
      </w:r>
    </w:p>
    <w:p w14:paraId="4C6BA329">
      <w:pPr>
        <w:widowControl/>
        <w:spacing w:line="360" w:lineRule="auto"/>
        <w:ind w:firstLine="480" w:firstLineChars="200"/>
        <w:jc w:val="left"/>
        <w:rPr>
          <w:rFonts w:hint="eastAsia" w:ascii="宋体" w:hAnsi="宋体" w:eastAsia="宋体" w:cs="宋体"/>
          <w:sz w:val="24"/>
          <w:szCs w:val="28"/>
          <w:lang w:val="zh-CN"/>
        </w:rPr>
      </w:pPr>
      <w:r>
        <w:rPr>
          <w:rFonts w:hint="eastAsia" w:ascii="宋体" w:hAnsi="宋体" w:eastAsia="宋体" w:cs="宋体"/>
          <w:sz w:val="24"/>
          <w:szCs w:val="28"/>
          <w:lang w:val="en-US" w:eastAsia="zh-CN"/>
        </w:rPr>
        <w:t>5</w:t>
      </w:r>
      <w:r>
        <w:rPr>
          <w:rFonts w:hint="eastAsia" w:ascii="宋体" w:hAnsi="宋体" w:eastAsia="宋体" w:cs="宋体"/>
          <w:sz w:val="24"/>
          <w:szCs w:val="28"/>
          <w:lang w:val="zh-CN"/>
        </w:rPr>
        <w:t xml:space="preserve">.1.4 </w:t>
      </w:r>
      <w:r>
        <w:rPr>
          <w:rFonts w:hint="eastAsia" w:ascii="宋体" w:hAnsi="宋体" w:eastAsia="宋体" w:cs="宋体"/>
          <w:sz w:val="24"/>
          <w:szCs w:val="28"/>
          <w:lang w:val="zh-CN"/>
        </w:rPr>
        <w:t>充电桩功率调节功能：接受后台管理系统的功率调节指令，并调节充电桩电功率。</w:t>
      </w:r>
    </w:p>
    <w:p w14:paraId="67FABE9F">
      <w:pPr>
        <w:widowControl/>
        <w:spacing w:line="360" w:lineRule="auto"/>
        <w:ind w:firstLine="480" w:firstLineChars="200"/>
        <w:jc w:val="left"/>
        <w:rPr>
          <w:rFonts w:hint="eastAsia" w:ascii="宋体" w:hAnsi="宋体" w:eastAsia="宋体" w:cs="宋体"/>
          <w:sz w:val="24"/>
          <w:szCs w:val="28"/>
          <w:lang w:val="zh-CN"/>
        </w:rPr>
      </w:pPr>
      <w:r>
        <w:rPr>
          <w:rFonts w:hint="eastAsia" w:ascii="宋体" w:hAnsi="宋体" w:eastAsia="宋体" w:cs="宋体"/>
          <w:sz w:val="24"/>
          <w:szCs w:val="28"/>
          <w:lang w:val="en-US" w:eastAsia="zh-CN"/>
        </w:rPr>
        <w:t>5</w:t>
      </w:r>
      <w:r>
        <w:rPr>
          <w:rFonts w:hint="eastAsia" w:ascii="宋体" w:hAnsi="宋体" w:eastAsia="宋体" w:cs="宋体"/>
          <w:sz w:val="24"/>
          <w:szCs w:val="28"/>
          <w:lang w:val="zh-CN"/>
        </w:rPr>
        <w:t>.1.5</w:t>
      </w:r>
      <w:r>
        <w:rPr>
          <w:rFonts w:hint="eastAsia" w:ascii="宋体" w:hAnsi="宋体" w:eastAsia="宋体" w:cs="宋体"/>
          <w:sz w:val="24"/>
          <w:szCs w:val="28"/>
          <w:lang w:val="zh-CN"/>
        </w:rPr>
        <w:t>充电监控功能：检测充电桩充电，及时报充电进度信息。</w:t>
      </w:r>
    </w:p>
    <w:p w14:paraId="5BA54337">
      <w:pPr>
        <w:widowControl/>
        <w:spacing w:line="360" w:lineRule="auto"/>
        <w:ind w:firstLine="480" w:firstLineChars="200"/>
        <w:jc w:val="left"/>
        <w:rPr>
          <w:rFonts w:hint="eastAsia" w:ascii="宋体" w:hAnsi="宋体" w:eastAsia="宋体" w:cs="宋体"/>
          <w:sz w:val="24"/>
          <w:szCs w:val="28"/>
          <w:lang w:val="zh-CN"/>
        </w:rPr>
      </w:pPr>
      <w:r>
        <w:rPr>
          <w:rFonts w:hint="eastAsia" w:ascii="宋体" w:hAnsi="宋体" w:eastAsia="宋体" w:cs="宋体"/>
          <w:sz w:val="24"/>
          <w:szCs w:val="28"/>
          <w:lang w:val="en-US" w:eastAsia="zh-CN"/>
        </w:rPr>
        <w:t>5</w:t>
      </w:r>
      <w:r>
        <w:rPr>
          <w:rFonts w:hint="eastAsia" w:ascii="宋体" w:hAnsi="宋体" w:eastAsia="宋体" w:cs="宋体"/>
          <w:sz w:val="24"/>
          <w:szCs w:val="28"/>
          <w:lang w:val="zh-CN"/>
        </w:rPr>
        <w:t xml:space="preserve">.1.6 </w:t>
      </w:r>
      <w:r>
        <w:rPr>
          <w:rFonts w:hint="eastAsia" w:ascii="宋体" w:hAnsi="宋体" w:eastAsia="宋体" w:cs="宋体"/>
          <w:sz w:val="24"/>
          <w:szCs w:val="28"/>
          <w:lang w:val="zh-CN"/>
        </w:rPr>
        <w:t>充电预约功能：接受后台管理系统的预约指令，并为指定车辆保留充电桩。</w:t>
      </w:r>
    </w:p>
    <w:p w14:paraId="45B81E94">
      <w:pPr>
        <w:widowControl/>
        <w:spacing w:line="360" w:lineRule="auto"/>
        <w:ind w:firstLine="480" w:firstLineChars="200"/>
        <w:jc w:val="left"/>
        <w:rPr>
          <w:rFonts w:hint="eastAsia" w:ascii="宋体" w:hAnsi="宋体" w:eastAsia="宋体" w:cs="宋体"/>
          <w:sz w:val="24"/>
          <w:szCs w:val="28"/>
          <w:lang w:val="zh-CN"/>
        </w:rPr>
      </w:pPr>
      <w:r>
        <w:rPr>
          <w:rFonts w:hint="eastAsia" w:ascii="宋体" w:hAnsi="宋体" w:eastAsia="宋体" w:cs="宋体"/>
          <w:sz w:val="24"/>
          <w:szCs w:val="28"/>
          <w:lang w:val="en-US" w:eastAsia="zh-CN"/>
        </w:rPr>
        <w:t>5</w:t>
      </w:r>
      <w:r>
        <w:rPr>
          <w:rFonts w:hint="eastAsia" w:ascii="宋体" w:hAnsi="宋体" w:eastAsia="宋体" w:cs="宋体"/>
          <w:sz w:val="24"/>
          <w:szCs w:val="28"/>
          <w:lang w:val="zh-CN"/>
        </w:rPr>
        <w:t xml:space="preserve">.1.7 </w:t>
      </w:r>
      <w:r>
        <w:rPr>
          <w:rFonts w:hint="eastAsia" w:ascii="宋体" w:hAnsi="宋体" w:eastAsia="宋体" w:cs="宋体"/>
          <w:sz w:val="24"/>
          <w:szCs w:val="28"/>
          <w:lang w:val="zh-CN"/>
        </w:rPr>
        <w:t>自动升级功能：自动监测升级服务器的软件版本，当有新版本的时候自动升级，并将控制软件切换至新版本。</w:t>
      </w:r>
    </w:p>
    <w:p w14:paraId="606E57CC">
      <w:pPr>
        <w:widowControl/>
        <w:spacing w:line="360" w:lineRule="auto"/>
        <w:ind w:firstLine="480" w:firstLineChars="200"/>
        <w:jc w:val="left"/>
        <w:rPr>
          <w:rFonts w:hint="eastAsia" w:ascii="宋体" w:hAnsi="宋体" w:eastAsia="宋体" w:cs="宋体"/>
          <w:sz w:val="24"/>
          <w:szCs w:val="28"/>
          <w:lang w:val="zh-CN"/>
        </w:rPr>
      </w:pPr>
      <w:r>
        <w:rPr>
          <w:rFonts w:hint="eastAsia" w:ascii="宋体" w:hAnsi="宋体" w:eastAsia="宋体" w:cs="宋体"/>
          <w:sz w:val="24"/>
          <w:szCs w:val="28"/>
          <w:lang w:val="en-US" w:eastAsia="zh-CN"/>
        </w:rPr>
        <w:t>5</w:t>
      </w:r>
      <w:r>
        <w:rPr>
          <w:rFonts w:hint="eastAsia" w:ascii="宋体" w:hAnsi="宋体" w:eastAsia="宋体" w:cs="宋体"/>
          <w:sz w:val="24"/>
          <w:szCs w:val="28"/>
          <w:lang w:val="zh-CN"/>
        </w:rPr>
        <w:t xml:space="preserve">.1.8 </w:t>
      </w:r>
      <w:r>
        <w:rPr>
          <w:rFonts w:hint="eastAsia" w:ascii="宋体" w:hAnsi="宋体" w:eastAsia="宋体" w:cs="宋体"/>
          <w:sz w:val="24"/>
          <w:szCs w:val="28"/>
          <w:lang w:val="zh-CN"/>
        </w:rPr>
        <w:t>日志记录：系统重要信息在本地文件记录日志，系统可用日志空间不小于1</w:t>
      </w:r>
      <w:r>
        <w:rPr>
          <w:rFonts w:hint="eastAsia" w:ascii="宋体" w:hAnsi="宋体" w:eastAsia="宋体" w:cs="宋体"/>
          <w:sz w:val="24"/>
          <w:szCs w:val="28"/>
          <w:lang w:val="zh-CN"/>
        </w:rPr>
        <w:t>00MB</w:t>
      </w:r>
      <w:r>
        <w:rPr>
          <w:rFonts w:hint="eastAsia" w:ascii="宋体" w:hAnsi="宋体" w:eastAsia="宋体" w:cs="宋体"/>
          <w:sz w:val="24"/>
          <w:szCs w:val="28"/>
          <w:lang w:val="zh-CN"/>
        </w:rPr>
        <w:t>，保留时间不小于2个月。</w:t>
      </w:r>
    </w:p>
    <w:p w14:paraId="19CE93E6">
      <w:pPr>
        <w:widowControl/>
        <w:spacing w:line="360" w:lineRule="auto"/>
        <w:ind w:firstLine="480" w:firstLineChars="200"/>
        <w:jc w:val="left"/>
        <w:rPr>
          <w:rFonts w:hint="eastAsia" w:ascii="宋体" w:hAnsi="宋体" w:eastAsia="宋体" w:cs="宋体"/>
          <w:sz w:val="24"/>
          <w:szCs w:val="28"/>
          <w:lang w:val="zh-CN"/>
        </w:rPr>
      </w:pPr>
      <w:r>
        <w:rPr>
          <w:rFonts w:hint="eastAsia" w:ascii="宋体" w:hAnsi="宋体" w:eastAsia="宋体" w:cs="宋体"/>
          <w:sz w:val="24"/>
          <w:szCs w:val="28"/>
          <w:lang w:val="en-US" w:eastAsia="zh-CN"/>
        </w:rPr>
        <w:t>5</w:t>
      </w:r>
      <w:r>
        <w:rPr>
          <w:rFonts w:hint="eastAsia" w:ascii="宋体" w:hAnsi="宋体" w:eastAsia="宋体" w:cs="宋体"/>
          <w:sz w:val="24"/>
          <w:szCs w:val="28"/>
          <w:lang w:val="zh-CN"/>
        </w:rPr>
        <w:t xml:space="preserve">.1.9 </w:t>
      </w:r>
      <w:r>
        <w:rPr>
          <w:rFonts w:hint="eastAsia" w:ascii="宋体" w:hAnsi="宋体" w:eastAsia="宋体" w:cs="宋体"/>
          <w:sz w:val="24"/>
          <w:szCs w:val="28"/>
          <w:lang w:val="zh-CN"/>
        </w:rPr>
        <w:t>时间同步：接受后台管理系统的时间同步指令，将本地时间调整为服务器时间。</w:t>
      </w:r>
    </w:p>
    <w:p w14:paraId="3A0E0125">
      <w:pPr>
        <w:pStyle w:val="2"/>
        <w:rPr>
          <w:rFonts w:hint="eastAsia" w:ascii="宋体" w:hAnsi="宋体" w:eastAsia="宋体" w:cs="宋体"/>
          <w:sz w:val="24"/>
          <w:szCs w:val="28"/>
          <w:lang w:val="zh-CN"/>
        </w:rPr>
      </w:pPr>
    </w:p>
    <w:p w14:paraId="19FAD165">
      <w:pPr>
        <w:rPr>
          <w:rFonts w:hint="eastAsia" w:ascii="宋体" w:hAnsi="宋体" w:eastAsia="宋体" w:cs="宋体"/>
          <w:sz w:val="24"/>
          <w:szCs w:val="28"/>
          <w:lang w:val="zh-CN"/>
        </w:rPr>
      </w:pPr>
    </w:p>
    <w:p w14:paraId="0D32A5A2">
      <w:pPr>
        <w:pStyle w:val="2"/>
        <w:rPr>
          <w:rFonts w:hint="eastAsia" w:ascii="宋体" w:hAnsi="宋体" w:eastAsia="宋体" w:cs="宋体"/>
          <w:sz w:val="24"/>
          <w:szCs w:val="28"/>
          <w:lang w:val="zh-CN"/>
        </w:rPr>
      </w:pPr>
    </w:p>
    <w:p w14:paraId="483E082B">
      <w:pPr>
        <w:rPr>
          <w:rFonts w:hint="eastAsia" w:ascii="宋体" w:hAnsi="宋体" w:eastAsia="宋体" w:cs="宋体"/>
          <w:sz w:val="24"/>
          <w:szCs w:val="28"/>
          <w:lang w:val="zh-CN"/>
        </w:rPr>
      </w:pPr>
    </w:p>
    <w:p w14:paraId="1EFBF66A">
      <w:pPr>
        <w:pStyle w:val="2"/>
        <w:rPr>
          <w:rFonts w:hint="eastAsia" w:ascii="宋体" w:hAnsi="宋体" w:eastAsia="宋体" w:cs="宋体"/>
          <w:sz w:val="24"/>
          <w:szCs w:val="28"/>
          <w:lang w:val="zh-CN"/>
        </w:rPr>
      </w:pPr>
    </w:p>
    <w:p w14:paraId="03C91757">
      <w:pPr>
        <w:rPr>
          <w:rFonts w:hint="eastAsia" w:ascii="宋体" w:hAnsi="宋体" w:eastAsia="宋体" w:cs="宋体"/>
          <w:sz w:val="24"/>
          <w:szCs w:val="28"/>
          <w:lang w:val="zh-CN"/>
        </w:rPr>
      </w:pPr>
    </w:p>
    <w:p w14:paraId="14825183">
      <w:pPr>
        <w:pStyle w:val="2"/>
        <w:rPr>
          <w:rFonts w:hint="eastAsia" w:ascii="宋体" w:hAnsi="宋体" w:eastAsia="宋体" w:cs="宋体"/>
          <w:sz w:val="24"/>
          <w:szCs w:val="28"/>
          <w:lang w:val="zh-CN"/>
        </w:rPr>
      </w:pPr>
    </w:p>
    <w:p w14:paraId="758DB369">
      <w:pPr>
        <w:rPr>
          <w:rFonts w:hint="eastAsia" w:ascii="宋体" w:hAnsi="宋体" w:eastAsia="宋体" w:cs="宋体"/>
          <w:sz w:val="24"/>
          <w:szCs w:val="28"/>
          <w:lang w:val="zh-CN"/>
        </w:rPr>
      </w:pPr>
    </w:p>
    <w:p w14:paraId="2B87C8AE">
      <w:pPr>
        <w:pStyle w:val="2"/>
        <w:rPr>
          <w:rFonts w:hint="eastAsia" w:ascii="宋体" w:hAnsi="宋体" w:eastAsia="宋体" w:cs="宋体"/>
          <w:sz w:val="24"/>
          <w:szCs w:val="28"/>
          <w:lang w:val="zh-CN"/>
        </w:rPr>
      </w:pPr>
    </w:p>
    <w:p w14:paraId="348745EE">
      <w:pPr>
        <w:rPr>
          <w:rFonts w:hint="eastAsia" w:ascii="宋体" w:hAnsi="宋体" w:eastAsia="宋体" w:cs="宋体"/>
          <w:sz w:val="24"/>
          <w:szCs w:val="28"/>
          <w:lang w:val="zh-CN"/>
        </w:rPr>
      </w:pPr>
    </w:p>
    <w:p w14:paraId="1A4A5742">
      <w:pPr>
        <w:pStyle w:val="2"/>
        <w:rPr>
          <w:rFonts w:hint="eastAsia" w:ascii="宋体" w:hAnsi="宋体" w:eastAsia="宋体" w:cs="宋体"/>
          <w:sz w:val="24"/>
          <w:szCs w:val="28"/>
          <w:lang w:val="zh-CN"/>
        </w:rPr>
      </w:pPr>
    </w:p>
    <w:p w14:paraId="764D0105">
      <w:pPr>
        <w:rPr>
          <w:rFonts w:hint="eastAsia" w:ascii="宋体" w:hAnsi="宋体" w:eastAsia="宋体" w:cs="宋体"/>
          <w:sz w:val="24"/>
          <w:szCs w:val="28"/>
          <w:lang w:val="zh-CN"/>
        </w:rPr>
      </w:pPr>
    </w:p>
    <w:p w14:paraId="62AABACA">
      <w:pPr>
        <w:pStyle w:val="2"/>
        <w:rPr>
          <w:rFonts w:hint="eastAsia" w:ascii="宋体" w:hAnsi="宋体" w:eastAsia="宋体" w:cs="宋体"/>
          <w:sz w:val="24"/>
          <w:szCs w:val="28"/>
          <w:lang w:val="zh-CN"/>
        </w:rPr>
      </w:pPr>
    </w:p>
    <w:p w14:paraId="31C5A7B8">
      <w:pPr>
        <w:rPr>
          <w:rFonts w:hint="eastAsia" w:ascii="宋体" w:hAnsi="宋体" w:eastAsia="宋体" w:cs="宋体"/>
          <w:sz w:val="24"/>
          <w:szCs w:val="28"/>
          <w:lang w:val="zh-CN"/>
        </w:rPr>
      </w:pPr>
    </w:p>
    <w:p w14:paraId="24CF8123">
      <w:pPr>
        <w:pStyle w:val="2"/>
        <w:rPr>
          <w:rFonts w:hint="eastAsia" w:ascii="宋体" w:hAnsi="宋体" w:eastAsia="宋体" w:cs="宋体"/>
          <w:sz w:val="24"/>
          <w:szCs w:val="28"/>
          <w:lang w:val="zh-CN"/>
        </w:rPr>
      </w:pPr>
    </w:p>
    <w:p w14:paraId="27837042">
      <w:pPr>
        <w:rPr>
          <w:rFonts w:hint="eastAsia" w:ascii="宋体" w:hAnsi="宋体" w:eastAsia="宋体" w:cs="宋体"/>
          <w:sz w:val="24"/>
          <w:szCs w:val="28"/>
          <w:lang w:val="zh-CN"/>
        </w:rPr>
      </w:pPr>
    </w:p>
    <w:p w14:paraId="17CBEE78">
      <w:pPr>
        <w:pStyle w:val="2"/>
        <w:rPr>
          <w:rFonts w:hint="eastAsia" w:ascii="宋体" w:hAnsi="宋体" w:eastAsia="宋体" w:cs="宋体"/>
          <w:sz w:val="24"/>
          <w:szCs w:val="28"/>
          <w:lang w:val="zh-CN"/>
        </w:rPr>
      </w:pPr>
    </w:p>
    <w:p w14:paraId="0A7A7E4F">
      <w:pPr>
        <w:rPr>
          <w:rFonts w:hint="eastAsia" w:ascii="宋体" w:hAnsi="宋体" w:eastAsia="宋体" w:cs="宋体"/>
          <w:sz w:val="24"/>
          <w:szCs w:val="28"/>
          <w:lang w:val="zh-CN"/>
        </w:rPr>
      </w:pPr>
    </w:p>
    <w:p w14:paraId="57380E01">
      <w:pPr>
        <w:pStyle w:val="2"/>
        <w:rPr>
          <w:rFonts w:hint="eastAsia" w:ascii="宋体" w:hAnsi="宋体" w:eastAsia="宋体" w:cs="宋体"/>
          <w:sz w:val="24"/>
          <w:szCs w:val="28"/>
          <w:lang w:val="zh-CN"/>
        </w:rPr>
      </w:pPr>
    </w:p>
    <w:p w14:paraId="09CC96F6">
      <w:pPr>
        <w:rPr>
          <w:rFonts w:hint="eastAsia" w:ascii="宋体" w:hAnsi="宋体" w:eastAsia="宋体" w:cs="宋体"/>
          <w:lang w:val="zh-CN"/>
        </w:rPr>
      </w:pPr>
    </w:p>
    <w:p w14:paraId="4605EA76">
      <w:pPr>
        <w:pStyle w:val="4"/>
        <w:spacing w:before="0" w:after="0" w:line="360" w:lineRule="auto"/>
        <w:rPr>
          <w:rFonts w:hint="eastAsia" w:ascii="宋体" w:hAnsi="宋体" w:eastAsia="宋体" w:cs="宋体"/>
        </w:rPr>
      </w:pPr>
      <w:r>
        <w:rPr>
          <w:rFonts w:hint="eastAsia" w:ascii="宋体" w:hAnsi="宋体" w:eastAsia="宋体" w:cs="宋体"/>
          <w:lang w:val="en-US" w:eastAsia="zh-CN"/>
        </w:rPr>
        <w:t>6</w:t>
      </w:r>
      <w:r>
        <w:rPr>
          <w:rFonts w:hint="eastAsia" w:ascii="宋体" w:hAnsi="宋体" w:eastAsia="宋体" w:cs="宋体"/>
        </w:rPr>
        <w:t>.试验</w:t>
      </w:r>
    </w:p>
    <w:p w14:paraId="60509B8E">
      <w:pPr>
        <w:pStyle w:val="7"/>
        <w:tabs>
          <w:tab w:val="left" w:pos="114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充电桩必须严格按照相关国家标准进行型式试验，并出具由国家认可的具备检验资质的第三方机构出具的《产品型式检验报告》，同时提供出厂试验和现场交接试验。</w:t>
      </w:r>
    </w:p>
    <w:p w14:paraId="5286CBEA">
      <w:pPr>
        <w:pStyle w:val="9"/>
        <w:spacing w:before="0" w:after="0" w:line="360" w:lineRule="auto"/>
        <w:rPr>
          <w:rFonts w:hint="eastAsia" w:ascii="宋体" w:hAnsi="宋体" w:eastAsia="宋体" w:cs="宋体"/>
        </w:rPr>
      </w:pPr>
      <w:r>
        <w:rPr>
          <w:rFonts w:hint="eastAsia" w:ascii="宋体" w:hAnsi="宋体" w:eastAsia="宋体" w:cs="宋体"/>
          <w:lang w:val="en-US" w:eastAsia="zh-CN"/>
        </w:rPr>
        <w:t>6</w:t>
      </w:r>
      <w:r>
        <w:rPr>
          <w:rFonts w:hint="eastAsia" w:ascii="宋体" w:hAnsi="宋体" w:eastAsia="宋体" w:cs="宋体"/>
        </w:rPr>
        <w:t>.1 型式试验</w:t>
      </w:r>
    </w:p>
    <w:p w14:paraId="02B1F098">
      <w:pPr>
        <w:pStyle w:val="7"/>
        <w:tabs>
          <w:tab w:val="left" w:pos="114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型式试验应由国家认可的检验检测机构出具报告。报告应满足以下要求：</w:t>
      </w:r>
    </w:p>
    <w:p w14:paraId="71449AEE">
      <w:pPr>
        <w:pStyle w:val="7"/>
        <w:tabs>
          <w:tab w:val="left" w:pos="114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.1.1型式试验报告应有CNAS、CMA标识。</w:t>
      </w:r>
    </w:p>
    <w:p w14:paraId="7BD0C149">
      <w:pPr>
        <w:pStyle w:val="7"/>
        <w:tabs>
          <w:tab w:val="left" w:pos="114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.1.2型式试验报告所检设备应与本通用技术规范所描述设备完全一致；</w:t>
      </w:r>
    </w:p>
    <w:p w14:paraId="4DDA2246">
      <w:pPr>
        <w:pStyle w:val="7"/>
        <w:tabs>
          <w:tab w:val="left" w:pos="114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.1.3型式试验报告的“检验项目和结果”应包含但不限于《NB/T 33008.1-2018》或《NB/T33008.2-2018》</w:t>
      </w:r>
      <w:r>
        <w:rPr>
          <w:rFonts w:hint="eastAsia" w:ascii="宋体" w:hAnsi="宋体" w:eastAsia="宋体" w:cs="宋体"/>
          <w:sz w:val="24"/>
          <w:szCs w:val="24"/>
        </w:rPr>
        <w:t>“</w:t>
      </w:r>
      <w:r>
        <w:rPr>
          <w:rFonts w:hint="eastAsia" w:ascii="宋体" w:hAnsi="宋体" w:eastAsia="宋体" w:cs="宋体"/>
          <w:sz w:val="24"/>
          <w:szCs w:val="24"/>
        </w:rPr>
        <w:t>4.2试验</w:t>
      </w:r>
      <w:r>
        <w:rPr>
          <w:rFonts w:hint="eastAsia" w:ascii="宋体" w:hAnsi="宋体" w:eastAsia="宋体" w:cs="宋体"/>
          <w:sz w:val="24"/>
          <w:szCs w:val="24"/>
        </w:rPr>
        <w:t>项目”</w:t>
      </w:r>
      <w:r>
        <w:rPr>
          <w:rFonts w:hint="eastAsia" w:ascii="宋体" w:hAnsi="宋体" w:eastAsia="宋体" w:cs="宋体"/>
          <w:sz w:val="24"/>
          <w:szCs w:val="24"/>
        </w:rPr>
        <w:t>中所列项目。</w:t>
      </w:r>
    </w:p>
    <w:p w14:paraId="536EFE18">
      <w:pPr>
        <w:pStyle w:val="7"/>
        <w:tabs>
          <w:tab w:val="left" w:pos="1140"/>
        </w:tabs>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6.1.4 交流充电桩应提供有 CNAS、CMA标识计量证书。</w:t>
      </w:r>
    </w:p>
    <w:p w14:paraId="092EFCB9">
      <w:pPr>
        <w:pStyle w:val="7"/>
        <w:tabs>
          <w:tab w:val="left" w:pos="1140"/>
        </w:tabs>
        <w:spacing w:line="360" w:lineRule="auto"/>
        <w:ind w:firstLine="480" w:firstLineChars="200"/>
        <w:rPr>
          <w:rFonts w:hint="eastAsia" w:ascii="宋体" w:hAnsi="宋体" w:eastAsia="宋体" w:cs="宋体"/>
          <w:sz w:val="24"/>
          <w:szCs w:val="24"/>
        </w:rPr>
      </w:pPr>
    </w:p>
    <w:p w14:paraId="06B93A76">
      <w:pPr>
        <w:pStyle w:val="7"/>
        <w:tabs>
          <w:tab w:val="left" w:pos="1140"/>
        </w:tabs>
        <w:spacing w:line="360" w:lineRule="auto"/>
        <w:ind w:firstLine="480" w:firstLineChars="200"/>
        <w:rPr>
          <w:rFonts w:hint="eastAsia" w:ascii="宋体" w:hAnsi="宋体" w:eastAsia="宋体" w:cs="宋体"/>
          <w:sz w:val="24"/>
          <w:szCs w:val="24"/>
        </w:rPr>
      </w:pPr>
    </w:p>
    <w:p w14:paraId="54F7033C">
      <w:pPr>
        <w:pStyle w:val="7"/>
        <w:tabs>
          <w:tab w:val="left" w:pos="1140"/>
        </w:tabs>
        <w:spacing w:line="360" w:lineRule="auto"/>
        <w:ind w:firstLine="480" w:firstLineChars="200"/>
        <w:rPr>
          <w:rFonts w:hint="eastAsia" w:ascii="宋体" w:hAnsi="宋体" w:eastAsia="宋体" w:cs="宋体"/>
          <w:sz w:val="24"/>
          <w:szCs w:val="24"/>
        </w:rPr>
      </w:pPr>
    </w:p>
    <w:p w14:paraId="16D3DA48">
      <w:pPr>
        <w:pStyle w:val="7"/>
        <w:tabs>
          <w:tab w:val="left" w:pos="1140"/>
        </w:tabs>
        <w:spacing w:line="360" w:lineRule="auto"/>
        <w:ind w:firstLine="480" w:firstLineChars="200"/>
        <w:rPr>
          <w:rFonts w:hint="eastAsia" w:ascii="宋体" w:hAnsi="宋体" w:eastAsia="宋体" w:cs="宋体"/>
          <w:sz w:val="24"/>
          <w:szCs w:val="24"/>
        </w:rPr>
      </w:pPr>
    </w:p>
    <w:p w14:paraId="0C8BE397">
      <w:pPr>
        <w:pStyle w:val="7"/>
        <w:tabs>
          <w:tab w:val="left" w:pos="1140"/>
        </w:tabs>
        <w:spacing w:line="360" w:lineRule="auto"/>
        <w:ind w:firstLine="480" w:firstLineChars="200"/>
        <w:rPr>
          <w:rFonts w:hint="eastAsia" w:ascii="宋体" w:hAnsi="宋体" w:eastAsia="宋体" w:cs="宋体"/>
          <w:sz w:val="24"/>
          <w:szCs w:val="24"/>
        </w:rPr>
      </w:pPr>
    </w:p>
    <w:p w14:paraId="03638087">
      <w:pPr>
        <w:pStyle w:val="7"/>
        <w:tabs>
          <w:tab w:val="left" w:pos="1140"/>
        </w:tabs>
        <w:spacing w:line="360" w:lineRule="auto"/>
        <w:ind w:firstLine="480" w:firstLineChars="200"/>
        <w:rPr>
          <w:rFonts w:hint="eastAsia" w:ascii="宋体" w:hAnsi="宋体" w:eastAsia="宋体" w:cs="宋体"/>
          <w:sz w:val="24"/>
          <w:szCs w:val="24"/>
        </w:rPr>
      </w:pPr>
    </w:p>
    <w:p w14:paraId="349B3E1D">
      <w:pPr>
        <w:pStyle w:val="7"/>
        <w:tabs>
          <w:tab w:val="left" w:pos="1140"/>
        </w:tabs>
        <w:spacing w:line="360" w:lineRule="auto"/>
        <w:ind w:firstLine="480" w:firstLineChars="200"/>
        <w:rPr>
          <w:rFonts w:hint="eastAsia" w:ascii="宋体" w:hAnsi="宋体" w:eastAsia="宋体" w:cs="宋体"/>
          <w:sz w:val="24"/>
          <w:szCs w:val="24"/>
        </w:rPr>
      </w:pPr>
    </w:p>
    <w:p w14:paraId="60484A18">
      <w:pPr>
        <w:pStyle w:val="7"/>
        <w:tabs>
          <w:tab w:val="left" w:pos="1140"/>
        </w:tabs>
        <w:spacing w:line="360" w:lineRule="auto"/>
        <w:ind w:firstLine="480" w:firstLineChars="200"/>
        <w:rPr>
          <w:rFonts w:hint="eastAsia" w:ascii="宋体" w:hAnsi="宋体" w:eastAsia="宋体" w:cs="宋体"/>
          <w:sz w:val="24"/>
          <w:szCs w:val="24"/>
        </w:rPr>
      </w:pPr>
    </w:p>
    <w:p w14:paraId="1F44CA5E">
      <w:pPr>
        <w:pStyle w:val="7"/>
        <w:tabs>
          <w:tab w:val="left" w:pos="1140"/>
        </w:tabs>
        <w:spacing w:line="360" w:lineRule="auto"/>
        <w:ind w:firstLine="480" w:firstLineChars="200"/>
        <w:rPr>
          <w:rFonts w:hint="eastAsia" w:ascii="宋体" w:hAnsi="宋体" w:eastAsia="宋体" w:cs="宋体"/>
          <w:sz w:val="24"/>
          <w:szCs w:val="24"/>
        </w:rPr>
      </w:pPr>
    </w:p>
    <w:p w14:paraId="16C98F74">
      <w:pPr>
        <w:pStyle w:val="7"/>
        <w:tabs>
          <w:tab w:val="left" w:pos="1140"/>
        </w:tabs>
        <w:spacing w:line="360" w:lineRule="auto"/>
        <w:ind w:firstLine="480" w:firstLineChars="200"/>
        <w:rPr>
          <w:rFonts w:hint="eastAsia" w:ascii="宋体" w:hAnsi="宋体" w:eastAsia="宋体" w:cs="宋体"/>
          <w:sz w:val="24"/>
          <w:szCs w:val="24"/>
        </w:rPr>
      </w:pPr>
    </w:p>
    <w:p w14:paraId="1FD56DA7">
      <w:pPr>
        <w:pStyle w:val="7"/>
        <w:tabs>
          <w:tab w:val="left" w:pos="1140"/>
        </w:tabs>
        <w:spacing w:line="360" w:lineRule="auto"/>
        <w:ind w:firstLine="480" w:firstLineChars="200"/>
        <w:rPr>
          <w:rFonts w:hint="eastAsia" w:ascii="宋体" w:hAnsi="宋体" w:eastAsia="宋体" w:cs="宋体"/>
          <w:sz w:val="24"/>
          <w:szCs w:val="24"/>
        </w:rPr>
      </w:pPr>
    </w:p>
    <w:p w14:paraId="2600BF6B">
      <w:pPr>
        <w:pStyle w:val="7"/>
        <w:tabs>
          <w:tab w:val="left" w:pos="1140"/>
        </w:tabs>
        <w:spacing w:line="360" w:lineRule="auto"/>
        <w:ind w:firstLine="480" w:firstLineChars="200"/>
        <w:rPr>
          <w:rFonts w:hint="eastAsia" w:ascii="宋体" w:hAnsi="宋体" w:eastAsia="宋体" w:cs="宋体"/>
          <w:sz w:val="24"/>
          <w:szCs w:val="24"/>
        </w:rPr>
      </w:pPr>
    </w:p>
    <w:p w14:paraId="37F03D88">
      <w:pPr>
        <w:pStyle w:val="7"/>
        <w:tabs>
          <w:tab w:val="left" w:pos="1140"/>
        </w:tabs>
        <w:spacing w:line="360" w:lineRule="auto"/>
        <w:ind w:firstLine="480" w:firstLineChars="200"/>
        <w:rPr>
          <w:rFonts w:hint="eastAsia" w:ascii="宋体" w:hAnsi="宋体" w:eastAsia="宋体" w:cs="宋体"/>
          <w:sz w:val="24"/>
          <w:szCs w:val="24"/>
        </w:rPr>
      </w:pPr>
    </w:p>
    <w:p w14:paraId="1F9058CC">
      <w:pPr>
        <w:pStyle w:val="7"/>
        <w:tabs>
          <w:tab w:val="left" w:pos="1140"/>
        </w:tabs>
        <w:spacing w:line="360" w:lineRule="auto"/>
        <w:ind w:firstLine="480" w:firstLineChars="200"/>
        <w:rPr>
          <w:rFonts w:hint="eastAsia" w:ascii="宋体" w:hAnsi="宋体" w:eastAsia="宋体" w:cs="宋体"/>
          <w:sz w:val="24"/>
          <w:szCs w:val="24"/>
        </w:rPr>
      </w:pPr>
    </w:p>
    <w:p w14:paraId="620CAA10">
      <w:pPr>
        <w:pStyle w:val="7"/>
        <w:tabs>
          <w:tab w:val="left" w:pos="1140"/>
        </w:tabs>
        <w:spacing w:line="360" w:lineRule="auto"/>
        <w:ind w:firstLine="480" w:firstLineChars="200"/>
        <w:rPr>
          <w:rFonts w:hint="eastAsia" w:ascii="宋体" w:hAnsi="宋体" w:eastAsia="宋体" w:cs="宋体"/>
          <w:sz w:val="24"/>
          <w:szCs w:val="24"/>
        </w:rPr>
      </w:pPr>
    </w:p>
    <w:p w14:paraId="4DBA4E23">
      <w:pPr>
        <w:pStyle w:val="7"/>
        <w:tabs>
          <w:tab w:val="left" w:pos="1140"/>
        </w:tabs>
        <w:spacing w:line="360" w:lineRule="auto"/>
        <w:ind w:firstLine="480" w:firstLineChars="200"/>
        <w:rPr>
          <w:rFonts w:hint="eastAsia" w:ascii="宋体" w:hAnsi="宋体" w:eastAsia="宋体" w:cs="宋体"/>
          <w:sz w:val="24"/>
          <w:szCs w:val="24"/>
        </w:rPr>
      </w:pPr>
    </w:p>
    <w:p w14:paraId="0AC7EF54">
      <w:pPr>
        <w:pStyle w:val="7"/>
        <w:tabs>
          <w:tab w:val="left" w:pos="1140"/>
        </w:tabs>
        <w:spacing w:line="360" w:lineRule="auto"/>
        <w:ind w:firstLine="480" w:firstLineChars="200"/>
        <w:rPr>
          <w:rFonts w:hint="eastAsia" w:ascii="宋体" w:hAnsi="宋体" w:eastAsia="宋体" w:cs="宋体"/>
          <w:sz w:val="24"/>
          <w:szCs w:val="24"/>
        </w:rPr>
      </w:pPr>
    </w:p>
    <w:p w14:paraId="6A3D23EF">
      <w:pPr>
        <w:pStyle w:val="7"/>
        <w:tabs>
          <w:tab w:val="left" w:pos="1140"/>
        </w:tabs>
        <w:spacing w:line="360" w:lineRule="auto"/>
        <w:ind w:firstLine="480" w:firstLineChars="200"/>
        <w:rPr>
          <w:rFonts w:hint="eastAsia" w:ascii="宋体" w:hAnsi="宋体" w:eastAsia="宋体" w:cs="宋体"/>
          <w:sz w:val="24"/>
          <w:szCs w:val="24"/>
        </w:rPr>
      </w:pPr>
    </w:p>
    <w:p w14:paraId="13C0468F">
      <w:pPr>
        <w:pStyle w:val="4"/>
        <w:spacing w:before="0" w:after="0" w:line="360" w:lineRule="auto"/>
        <w:rPr>
          <w:rFonts w:hint="eastAsia" w:ascii="宋体" w:hAnsi="宋体" w:eastAsia="宋体" w:cs="宋体"/>
        </w:rPr>
      </w:pPr>
      <w:r>
        <w:rPr>
          <w:rFonts w:hint="eastAsia" w:ascii="宋体" w:hAnsi="宋体" w:eastAsia="宋体" w:cs="宋体"/>
          <w:lang w:val="en-US" w:eastAsia="zh-CN"/>
        </w:rPr>
        <w:t>7</w:t>
      </w:r>
      <w:r>
        <w:rPr>
          <w:rFonts w:hint="eastAsia" w:ascii="宋体" w:hAnsi="宋体" w:eastAsia="宋体" w:cs="宋体"/>
        </w:rPr>
        <w:t>.</w:t>
      </w:r>
      <w:r>
        <w:rPr>
          <w:rFonts w:hint="eastAsia" w:ascii="宋体" w:hAnsi="宋体" w:eastAsia="宋体" w:cs="宋体"/>
        </w:rPr>
        <w:t xml:space="preserve"> </w:t>
      </w:r>
      <w:r>
        <w:rPr>
          <w:rFonts w:hint="eastAsia" w:ascii="宋体" w:hAnsi="宋体" w:eastAsia="宋体" w:cs="宋体"/>
        </w:rPr>
        <w:t>技术服务、</w:t>
      </w:r>
      <w:r>
        <w:rPr>
          <w:rFonts w:hint="eastAsia" w:ascii="宋体" w:hAnsi="宋体" w:eastAsia="宋体" w:cs="宋体"/>
        </w:rPr>
        <w:t>质保</w:t>
      </w:r>
    </w:p>
    <w:p w14:paraId="1A919CD1">
      <w:pPr>
        <w:pStyle w:val="9"/>
        <w:spacing w:before="0" w:after="0" w:line="360" w:lineRule="auto"/>
        <w:rPr>
          <w:rFonts w:hint="eastAsia" w:ascii="宋体" w:hAnsi="宋体" w:eastAsia="宋体" w:cs="宋体"/>
        </w:rPr>
      </w:pPr>
      <w:r>
        <w:rPr>
          <w:rFonts w:hint="eastAsia" w:ascii="宋体" w:hAnsi="宋体" w:eastAsia="宋体" w:cs="宋体"/>
          <w:lang w:val="en-US" w:eastAsia="zh-CN"/>
        </w:rPr>
        <w:t>7</w:t>
      </w:r>
      <w:r>
        <w:rPr>
          <w:rFonts w:hint="eastAsia" w:ascii="宋体" w:hAnsi="宋体" w:eastAsia="宋体" w:cs="宋体"/>
        </w:rPr>
        <w:t>.1</w:t>
      </w:r>
      <w:r>
        <w:rPr>
          <w:rFonts w:hint="eastAsia" w:ascii="宋体" w:hAnsi="宋体" w:eastAsia="宋体" w:cs="宋体"/>
        </w:rPr>
        <w:t xml:space="preserve"> 技术服务</w:t>
      </w:r>
    </w:p>
    <w:p w14:paraId="69BB22A2">
      <w:pPr>
        <w:pStyle w:val="7"/>
        <w:tabs>
          <w:tab w:val="left" w:pos="114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卖方在向买方交付设备时向买方提供以下书面文件：</w:t>
      </w:r>
    </w:p>
    <w:p w14:paraId="1C8A596A">
      <w:pPr>
        <w:pStyle w:val="7"/>
        <w:tabs>
          <w:tab w:val="left" w:pos="114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.1.1出厂检验合格证；</w:t>
      </w:r>
    </w:p>
    <w:p w14:paraId="428331AC">
      <w:pPr>
        <w:pStyle w:val="7"/>
        <w:tabs>
          <w:tab w:val="left" w:pos="114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.1.2用户手册（或使用说明书）；</w:t>
      </w:r>
    </w:p>
    <w:p w14:paraId="27907864">
      <w:pPr>
        <w:pStyle w:val="7"/>
        <w:tabs>
          <w:tab w:val="left" w:pos="114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.1.3设备清单；</w:t>
      </w:r>
    </w:p>
    <w:p w14:paraId="7F69155C">
      <w:pPr>
        <w:pStyle w:val="7"/>
        <w:tabs>
          <w:tab w:val="left" w:pos="114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.1.4本规范中1.4要求的资料。</w:t>
      </w:r>
    </w:p>
    <w:p w14:paraId="4F652A85">
      <w:pPr>
        <w:pStyle w:val="7"/>
        <w:tabs>
          <w:tab w:val="left" w:pos="114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.1.5卖方保证向买方交付的技术资料必须清晰、完整、准确，并能满足设备运行维护要求。</w:t>
      </w:r>
    </w:p>
    <w:p w14:paraId="0267C60E">
      <w:pPr>
        <w:pStyle w:val="7"/>
        <w:tabs>
          <w:tab w:val="left" w:pos="114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.1.6卖方应向买方工作人员提供专业培训。</w:t>
      </w:r>
    </w:p>
    <w:p w14:paraId="72690DD6">
      <w:pPr>
        <w:pStyle w:val="9"/>
        <w:spacing w:before="0" w:after="0" w:line="360" w:lineRule="auto"/>
        <w:rPr>
          <w:rFonts w:hint="eastAsia" w:ascii="宋体" w:hAnsi="宋体" w:eastAsia="宋体" w:cs="宋体"/>
        </w:rPr>
      </w:pPr>
      <w:r>
        <w:rPr>
          <w:rFonts w:hint="eastAsia" w:ascii="宋体" w:hAnsi="宋体" w:eastAsia="宋体" w:cs="宋体"/>
          <w:lang w:val="en-US" w:eastAsia="zh-CN"/>
        </w:rPr>
        <w:t>7</w:t>
      </w:r>
      <w:r>
        <w:rPr>
          <w:rFonts w:hint="eastAsia" w:ascii="宋体" w:hAnsi="宋体" w:eastAsia="宋体" w:cs="宋体"/>
        </w:rPr>
        <w:t>.</w:t>
      </w:r>
      <w:r>
        <w:rPr>
          <w:rFonts w:hint="eastAsia" w:ascii="宋体" w:hAnsi="宋体" w:eastAsia="宋体" w:cs="宋体"/>
        </w:rPr>
        <w:t xml:space="preserve">2 </w:t>
      </w:r>
      <w:r>
        <w:rPr>
          <w:rFonts w:hint="eastAsia" w:ascii="宋体" w:hAnsi="宋体" w:eastAsia="宋体" w:cs="宋体"/>
        </w:rPr>
        <w:t>质保</w:t>
      </w:r>
    </w:p>
    <w:p w14:paraId="3712D0E8">
      <w:pPr>
        <w:pStyle w:val="7"/>
        <w:tabs>
          <w:tab w:val="left" w:pos="114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.2.1合同设备（含配套软件）质保期为</w:t>
      </w:r>
      <w:r>
        <w:rPr>
          <w:rFonts w:hint="eastAsia" w:ascii="宋体" w:hAnsi="宋体" w:eastAsia="宋体" w:cs="宋体"/>
          <w:sz w:val="24"/>
          <w:szCs w:val="24"/>
          <w:lang w:val="en-US" w:eastAsia="zh-CN"/>
        </w:rPr>
        <w:t>集中交付起</w:t>
      </w:r>
      <w:r>
        <w:rPr>
          <w:rFonts w:hint="eastAsia" w:ascii="宋体" w:hAnsi="宋体" w:eastAsia="宋体" w:cs="宋体"/>
          <w:sz w:val="24"/>
          <w:szCs w:val="24"/>
        </w:rPr>
        <w:t>24个月。</w:t>
      </w:r>
    </w:p>
    <w:p w14:paraId="1FEE71ED">
      <w:pPr>
        <w:pStyle w:val="7"/>
        <w:tabs>
          <w:tab w:val="left" w:pos="114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.2.2在质保期内，质保服务为软件的现场升级、故障部件现场更换、设备的现场维修与维护以及电话技术支持等服务，不再收取额外费用。</w:t>
      </w:r>
    </w:p>
    <w:p w14:paraId="247E291B">
      <w:pPr>
        <w:pStyle w:val="7"/>
        <w:tabs>
          <w:tab w:val="left" w:pos="114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.2.3质保服务响应时间：设备出现故障时必须在2小时内对买方所提出的维修要求做出响应。</w:t>
      </w:r>
    </w:p>
    <w:p w14:paraId="36419C2C">
      <w:pPr>
        <w:pStyle w:val="7"/>
        <w:tabs>
          <w:tab w:val="left" w:pos="114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.2.4在质保期内，设备出现质量问题，卖方须在5天内无偿更换损坏的零部件，无法修复的需更换全新设备。</w:t>
      </w:r>
    </w:p>
    <w:p w14:paraId="4C155E9E">
      <w:pPr>
        <w:pStyle w:val="7"/>
        <w:tabs>
          <w:tab w:val="left" w:pos="114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.2.5在质保期内，更换后的故障存储介质由买方拥有。</w:t>
      </w:r>
    </w:p>
    <w:p w14:paraId="5CC6AEC3">
      <w:pPr>
        <w:widowControl/>
        <w:jc w:val="left"/>
        <w:rPr>
          <w:rFonts w:hint="eastAsia" w:ascii="宋体" w:hAnsi="宋体" w:eastAsia="宋体" w:cs="宋体"/>
          <w:kern w:val="0"/>
          <w:sz w:val="24"/>
          <w:szCs w:val="20"/>
        </w:rPr>
      </w:pPr>
      <w:r>
        <w:rPr>
          <w:rFonts w:hint="eastAsia" w:ascii="宋体" w:hAnsi="宋体" w:eastAsia="宋体" w:cs="宋体"/>
        </w:rPr>
        <w:br w:type="page"/>
      </w:r>
    </w:p>
    <w:p w14:paraId="38FEA1D4">
      <w:pPr>
        <w:pStyle w:val="4"/>
        <w:spacing w:before="0" w:after="0" w:line="360" w:lineRule="auto"/>
        <w:rPr>
          <w:rFonts w:hint="eastAsia" w:ascii="宋体" w:hAnsi="宋体" w:eastAsia="宋体" w:cs="宋体"/>
        </w:rPr>
      </w:pPr>
      <w:r>
        <w:rPr>
          <w:rFonts w:hint="eastAsia" w:ascii="宋体" w:hAnsi="宋体" w:eastAsia="宋体" w:cs="宋体"/>
          <w:lang w:val="en-US" w:eastAsia="zh-CN"/>
        </w:rPr>
        <w:t>8</w:t>
      </w:r>
      <w:r>
        <w:rPr>
          <w:rFonts w:hint="eastAsia" w:ascii="宋体" w:hAnsi="宋体" w:eastAsia="宋体" w:cs="宋体"/>
        </w:rPr>
        <w:t>.</w:t>
      </w:r>
      <w:r>
        <w:rPr>
          <w:rFonts w:hint="eastAsia" w:ascii="宋体" w:hAnsi="宋体" w:eastAsia="宋体" w:cs="宋体"/>
        </w:rPr>
        <w:t xml:space="preserve"> </w:t>
      </w:r>
      <w:r>
        <w:rPr>
          <w:rFonts w:hint="eastAsia" w:ascii="宋体" w:hAnsi="宋体" w:eastAsia="宋体" w:cs="宋体"/>
          <w:lang w:val="en-US" w:eastAsia="zh-CN"/>
        </w:rPr>
        <w:t>其他</w:t>
      </w:r>
      <w:r>
        <w:rPr>
          <w:rFonts w:hint="eastAsia" w:ascii="宋体" w:hAnsi="宋体" w:eastAsia="宋体" w:cs="宋体"/>
        </w:rPr>
        <w:t>要求</w:t>
      </w:r>
    </w:p>
    <w:p w14:paraId="6C8E4403">
      <w:pPr>
        <w:pStyle w:val="7"/>
        <w:tabs>
          <w:tab w:val="left" w:pos="114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1、提供所投产品供应商或制造商售后服务机构情况，包括地址、技术人员及联系方式，售后技术人员力量、设备实力等。</w:t>
      </w:r>
    </w:p>
    <w:p w14:paraId="4BC73F22">
      <w:pPr>
        <w:pStyle w:val="7"/>
        <w:tabs>
          <w:tab w:val="left" w:pos="114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2、质保期：质保期贰年且免费上门保修服务，7 天×24 小时全年无休，保修期自</w:t>
      </w:r>
      <w:r>
        <w:rPr>
          <w:rFonts w:hint="eastAsia" w:ascii="宋体" w:hAnsi="宋体" w:eastAsia="宋体" w:cs="宋体"/>
          <w:sz w:val="24"/>
          <w:szCs w:val="24"/>
          <w:lang w:val="en-US" w:eastAsia="zh-CN"/>
        </w:rPr>
        <w:t>集中交付</w:t>
      </w:r>
      <w:r>
        <w:rPr>
          <w:rFonts w:hint="eastAsia" w:ascii="宋体" w:hAnsi="宋体" w:eastAsia="宋体" w:cs="宋体"/>
          <w:sz w:val="24"/>
          <w:szCs w:val="24"/>
        </w:rPr>
        <w:t>之日起计算。不接受该质保期的投标将不被接受。</w:t>
      </w:r>
    </w:p>
    <w:p w14:paraId="1AF4DDDA">
      <w:pPr>
        <w:pStyle w:val="7"/>
        <w:tabs>
          <w:tab w:val="left" w:pos="114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3、质保期内应当为采购人提供以下技术支持和服务：</w:t>
      </w:r>
    </w:p>
    <w:p w14:paraId="00FF347E">
      <w:pPr>
        <w:pStyle w:val="7"/>
        <w:tabs>
          <w:tab w:val="left" w:pos="114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（1）电话咨询。中标人或制造商应当为采购人提供技术援助电话，解答采购人在使用中遇到的问题，及时为采购人提出解决问题的建议和办法。</w:t>
      </w:r>
    </w:p>
    <w:p w14:paraId="20F2F2AF">
      <w:pPr>
        <w:pStyle w:val="7"/>
        <w:tabs>
          <w:tab w:val="left" w:pos="114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（2）现场响应。采购人遇到使用及技术问题，电话咨询不能解决的，中标人或制造商售后应在 2 小时内到达现场进行处理，确保设备系统正常工作；</w:t>
      </w:r>
    </w:p>
    <w:p w14:paraId="7A210CDB">
      <w:pPr>
        <w:pStyle w:val="7"/>
        <w:tabs>
          <w:tab w:val="left" w:pos="114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无法在 4 小时内解决的，应在 12小时内提供备用产品，使采购人能够正常使 用。</w:t>
      </w:r>
    </w:p>
    <w:p w14:paraId="2EBC74B5">
      <w:pPr>
        <w:pStyle w:val="7"/>
        <w:tabs>
          <w:tab w:val="left" w:pos="114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（3）中标人应当定期对所供设备系统运行情况进行检测，消除故障隐患，以保证设备的正常运行。</w:t>
      </w:r>
    </w:p>
    <w:p w14:paraId="3E89318C">
      <w:pPr>
        <w:pStyle w:val="7"/>
        <w:tabs>
          <w:tab w:val="left" w:pos="114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（4）技术升级。在质保期内，如果制造商的产品技术升级，中标人应及</w:t>
      </w:r>
      <w:bookmarkStart w:id="9" w:name="bookmark3"/>
      <w:bookmarkEnd w:id="9"/>
      <w:r>
        <w:rPr>
          <w:rFonts w:hint="eastAsia" w:ascii="宋体" w:hAnsi="宋体" w:eastAsia="宋体" w:cs="宋体"/>
          <w:sz w:val="24"/>
          <w:szCs w:val="24"/>
        </w:rPr>
        <w:t>时通知采购人，如采购人有相应要求，中标人和制造商应对采购人购买的产 品进行免费升级服务或优惠价格的有偿升级服务。</w:t>
      </w:r>
    </w:p>
    <w:p w14:paraId="2BAA03F9">
      <w:pPr>
        <w:pStyle w:val="7"/>
        <w:tabs>
          <w:tab w:val="left" w:pos="114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4、质保期后应当为采购人提供以下技术支持和服务：</w:t>
      </w:r>
    </w:p>
    <w:p w14:paraId="69E7C852">
      <w:pPr>
        <w:pStyle w:val="7"/>
        <w:tabs>
          <w:tab w:val="left" w:pos="114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（1）应同样提供电话咨询服务，并应承诺提供产品上门维护服务。</w:t>
      </w:r>
    </w:p>
    <w:p w14:paraId="271F676E">
      <w:pPr>
        <w:pStyle w:val="7"/>
        <w:tabs>
          <w:tab w:val="left" w:pos="114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（2）应以优惠价格继续提供售后服务。</w:t>
      </w:r>
    </w:p>
    <w:p w14:paraId="0C449554">
      <w:pPr>
        <w:pStyle w:val="7"/>
        <w:tabs>
          <w:tab w:val="left" w:pos="114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备品备件及易损件：中标人或制造商售后服务中，维修使用的备品备件及易损件应为原厂配件，未经采购人同意不得使用非原厂配件。中标人应提供原厂标准的备品备件、易损件、消耗材料价格清单及折扣率。</w:t>
      </w:r>
    </w:p>
    <w:p w14:paraId="164CB9E6">
      <w:pPr>
        <w:pStyle w:val="2"/>
        <w:kinsoku w:val="0"/>
        <w:overflowPunct w:val="0"/>
        <w:spacing w:before="42" w:line="360" w:lineRule="auto"/>
        <w:ind w:firstLine="564"/>
        <w:rPr>
          <w:rFonts w:hint="eastAsia" w:ascii="宋体" w:hAnsi="宋体" w:eastAsia="宋体" w:cs="宋体"/>
        </w:rPr>
      </w:pPr>
    </w:p>
    <w:sectPr>
      <w:headerReference r:id="rId3" w:type="default"/>
      <w:footerReference r:id="rId4" w:type="default"/>
      <w:pgSz w:w="11906" w:h="16838"/>
      <w:pgMar w:top="1418" w:right="1134" w:bottom="1134" w:left="1418" w:header="851" w:footer="73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Menlo">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Microsoft YaHei UI">
    <w:panose1 w:val="020B0503020204020204"/>
    <w:charset w:val="86"/>
    <w:family w:val="swiss"/>
    <w:pitch w:val="default"/>
    <w:sig w:usb0="80000287" w:usb1="2ACF3C50" w:usb2="00000016" w:usb3="00000000" w:csb0="0004001F" w:csb1="00000000"/>
  </w:font>
  <w:font w:name="Arial Unicode MS">
    <w:altName w:val="宋体"/>
    <w:panose1 w:val="020B0604020202020204"/>
    <w:charset w:val="86"/>
    <w:family w:val="swiss"/>
    <w:pitch w:val="default"/>
    <w:sig w:usb0="00000000" w:usb1="00000000" w:usb2="0000003F" w:usb3="00000000" w:csb0="603F01FF" w:csb1="FFFF0000"/>
  </w:font>
  <w:font w:name="Verdana">
    <w:panose1 w:val="020B0604030504040204"/>
    <w:charset w:val="00"/>
    <w:family w:val="swiss"/>
    <w:pitch w:val="default"/>
    <w:sig w:usb0="A00006FF" w:usb1="4000205B" w:usb2="00000010" w:usb3="00000000" w:csb0="2000019F" w:csb1="00000000"/>
  </w:font>
  <w:font w:name="ˎ̥">
    <w:altName w:val="Times New Roman"/>
    <w:panose1 w:val="00000000000000000000"/>
    <w:charset w:val="00"/>
    <w:family w:val="auto"/>
    <w:pitch w:val="default"/>
    <w:sig w:usb0="00000000" w:usb1="00000000" w:usb2="00000000" w:usb3="00000000" w:csb0="00000000" w:csb1="00000000"/>
  </w:font>
  <w:font w:name="EU-F1">
    <w:altName w:val="宋体"/>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E-F1">
    <w:altName w:val="Malgun Gothic"/>
    <w:panose1 w:val="00000000000000000000"/>
    <w:charset w:val="81"/>
    <w:family w:val="roman"/>
    <w:pitch w:val="default"/>
    <w:sig w:usb0="00000000" w:usb1="00000000" w:usb2="00000033" w:usb3="00000000" w:csb0="00080000" w:csb1="00000000"/>
  </w:font>
  <w:font w:name="Malgun Gothic">
    <w:panose1 w:val="020B0503020000020004"/>
    <w:charset w:val="81"/>
    <w:family w:val="auto"/>
    <w:pitch w:val="default"/>
    <w:sig w:usb0="9000002F" w:usb1="29D77CFB" w:usb2="00000012" w:usb3="00000000" w:csb0="00080001" w:csb1="00000000"/>
  </w:font>
  <w:font w:name="方正姚体">
    <w:altName w:val="宋体"/>
    <w:panose1 w:val="02010601030101010101"/>
    <w:charset w:val="86"/>
    <w:family w:val="auto"/>
    <w:pitch w:val="default"/>
    <w:sig w:usb0="00000000" w:usb1="00000000" w:usb2="00000000" w:usb3="00000000" w:csb0="00040000" w:csb1="00000000"/>
  </w:font>
  <w:font w:name="方正书宋简体">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E77991">
    <w:pPr>
      <w:pStyle w:val="25"/>
      <w:jc w:val="right"/>
    </w:pPr>
    <w:r>
      <w:rPr>
        <w:lang w:val="zh-CN"/>
      </w:rPr>
      <w:t xml:space="preserve"> </w:t>
    </w:r>
    <w:r>
      <w:rPr>
        <w:b/>
      </w:rPr>
      <w:fldChar w:fldCharType="begin"/>
    </w:r>
    <w:r>
      <w:rPr>
        <w:b/>
      </w:rPr>
      <w:instrText xml:space="preserve">PAGE</w:instrText>
    </w:r>
    <w:r>
      <w:rPr>
        <w:b/>
      </w:rPr>
      <w:fldChar w:fldCharType="separate"/>
    </w:r>
    <w:r>
      <w:rPr>
        <w:b/>
      </w:rPr>
      <w:t>7</w:t>
    </w:r>
    <w:r>
      <w:rPr>
        <w:b/>
      </w:rPr>
      <w:fldChar w:fldCharType="end"/>
    </w:r>
    <w:r>
      <w:rPr>
        <w:lang w:val="zh-CN"/>
      </w:rPr>
      <w:t xml:space="preserve"> / </w:t>
    </w:r>
    <w:r>
      <w:rPr>
        <w:b/>
      </w:rPr>
      <w:fldChar w:fldCharType="begin"/>
    </w:r>
    <w:r>
      <w:rPr>
        <w:b/>
      </w:rPr>
      <w:instrText xml:space="preserve">NUMPAGES</w:instrText>
    </w:r>
    <w:r>
      <w:rPr>
        <w:b/>
      </w:rPr>
      <w:fldChar w:fldCharType="separate"/>
    </w:r>
    <w:r>
      <w:rPr>
        <w:b/>
      </w:rPr>
      <w:t>30</w:t>
    </w:r>
    <w:r>
      <w:rPr>
        <w:b/>
      </w:rPr>
      <w:fldChar w:fldCharType="end"/>
    </w:r>
  </w:p>
  <w:p w14:paraId="5EAA3857">
    <w:pPr>
      <w:pStyle w:val="2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0FC8E6">
    <w:pPr>
      <w:pStyle w:val="26"/>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E"/>
    <w:multiLevelType w:val="multilevel"/>
    <w:tmpl w:val="0000000E"/>
    <w:lvl w:ilvl="0" w:tentative="0">
      <w:start w:val="1"/>
      <w:numFmt w:val="lowerLetter"/>
      <w:pStyle w:val="315"/>
      <w:lvlText w:val="%1)"/>
      <w:lvlJc w:val="left"/>
      <w:pPr>
        <w:tabs>
          <w:tab w:val="left" w:pos="315"/>
        </w:tabs>
        <w:ind w:left="712" w:firstLine="23"/>
      </w:pPr>
      <w:rPr>
        <w:rFonts w:hint="default"/>
      </w:rPr>
    </w:lvl>
    <w:lvl w:ilvl="1" w:tentative="0">
      <w:start w:val="1"/>
      <w:numFmt w:val="lowerLetter"/>
      <w:lvlText w:val="%2)"/>
      <w:lvlJc w:val="left"/>
      <w:pPr>
        <w:tabs>
          <w:tab w:val="left" w:pos="1575"/>
        </w:tabs>
        <w:ind w:left="1575" w:hanging="420"/>
      </w:pPr>
    </w:lvl>
    <w:lvl w:ilvl="2" w:tentative="0">
      <w:start w:val="1"/>
      <w:numFmt w:val="lowerRoman"/>
      <w:lvlText w:val="%3."/>
      <w:lvlJc w:val="right"/>
      <w:pPr>
        <w:tabs>
          <w:tab w:val="left" w:pos="1995"/>
        </w:tabs>
        <w:ind w:left="1995" w:hanging="420"/>
      </w:pPr>
    </w:lvl>
    <w:lvl w:ilvl="3" w:tentative="0">
      <w:start w:val="1"/>
      <w:numFmt w:val="decimal"/>
      <w:lvlText w:val="%4."/>
      <w:lvlJc w:val="left"/>
      <w:pPr>
        <w:tabs>
          <w:tab w:val="left" w:pos="2415"/>
        </w:tabs>
        <w:ind w:left="2415" w:hanging="420"/>
      </w:pPr>
    </w:lvl>
    <w:lvl w:ilvl="4" w:tentative="0">
      <w:start w:val="1"/>
      <w:numFmt w:val="lowerLetter"/>
      <w:lvlText w:val="%5)"/>
      <w:lvlJc w:val="left"/>
      <w:pPr>
        <w:tabs>
          <w:tab w:val="left" w:pos="2835"/>
        </w:tabs>
        <w:ind w:left="2835" w:hanging="420"/>
      </w:pPr>
    </w:lvl>
    <w:lvl w:ilvl="5" w:tentative="0">
      <w:start w:val="1"/>
      <w:numFmt w:val="lowerRoman"/>
      <w:lvlText w:val="%6."/>
      <w:lvlJc w:val="right"/>
      <w:pPr>
        <w:tabs>
          <w:tab w:val="left" w:pos="3255"/>
        </w:tabs>
        <w:ind w:left="3255" w:hanging="420"/>
      </w:pPr>
    </w:lvl>
    <w:lvl w:ilvl="6" w:tentative="0">
      <w:start w:val="1"/>
      <w:numFmt w:val="decimal"/>
      <w:lvlText w:val="%7."/>
      <w:lvlJc w:val="left"/>
      <w:pPr>
        <w:tabs>
          <w:tab w:val="left" w:pos="3675"/>
        </w:tabs>
        <w:ind w:left="3675" w:hanging="420"/>
      </w:pPr>
    </w:lvl>
    <w:lvl w:ilvl="7" w:tentative="0">
      <w:start w:val="1"/>
      <w:numFmt w:val="lowerLetter"/>
      <w:lvlText w:val="%8)"/>
      <w:lvlJc w:val="left"/>
      <w:pPr>
        <w:tabs>
          <w:tab w:val="left" w:pos="4095"/>
        </w:tabs>
        <w:ind w:left="4095" w:hanging="420"/>
      </w:pPr>
    </w:lvl>
    <w:lvl w:ilvl="8" w:tentative="0">
      <w:start w:val="1"/>
      <w:numFmt w:val="lowerRoman"/>
      <w:lvlText w:val="%9."/>
      <w:lvlJc w:val="right"/>
      <w:pPr>
        <w:tabs>
          <w:tab w:val="left" w:pos="4515"/>
        </w:tabs>
        <w:ind w:left="4515" w:hanging="420"/>
      </w:pPr>
    </w:lvl>
  </w:abstractNum>
  <w:abstractNum w:abstractNumId="1">
    <w:nsid w:val="16434815"/>
    <w:multiLevelType w:val="multilevel"/>
    <w:tmpl w:val="16434815"/>
    <w:lvl w:ilvl="0" w:tentative="0">
      <w:start w:val="1"/>
      <w:numFmt w:val="decimal"/>
      <w:suff w:val="nothing"/>
      <w:lvlText w:val="0.%1　"/>
      <w:lvlJc w:val="left"/>
      <w:pPr>
        <w:ind w:left="0" w:firstLine="0"/>
      </w:pPr>
      <w:rPr>
        <w:rFonts w:hint="eastAsia" w:ascii="黑体" w:eastAsia="黑体"/>
      </w:rPr>
    </w:lvl>
    <w:lvl w:ilvl="1" w:tentative="0">
      <w:start w:val="1"/>
      <w:numFmt w:val="decimal"/>
      <w:pStyle w:val="171"/>
      <w:suff w:val="nothing"/>
      <w:lvlText w:val="0.%1.%2　"/>
      <w:lvlJc w:val="left"/>
      <w:pPr>
        <w:ind w:left="0" w:firstLine="0"/>
      </w:pPr>
      <w:rPr>
        <w:rFonts w:hint="eastAsia" w:ascii="黑体" w:eastAsia="黑体"/>
      </w:rPr>
    </w:lvl>
    <w:lvl w:ilvl="2" w:tentative="0">
      <w:start w:val="1"/>
      <w:numFmt w:val="decimal"/>
      <w:pStyle w:val="253"/>
      <w:suff w:val="nothing"/>
      <w:lvlText w:val="0.%1.%2.%3　"/>
      <w:lvlJc w:val="left"/>
      <w:pPr>
        <w:ind w:left="0" w:firstLine="0"/>
      </w:pPr>
      <w:rPr>
        <w:rFonts w:hint="eastAsia" w:ascii="黑体" w:eastAsia="黑体"/>
      </w:rPr>
    </w:lvl>
    <w:lvl w:ilvl="3" w:tentative="0">
      <w:start w:val="1"/>
      <w:numFmt w:val="decimal"/>
      <w:pStyle w:val="222"/>
      <w:suff w:val="nothing"/>
      <w:lvlText w:val="0.%1.%2.%3.%4　"/>
      <w:lvlJc w:val="left"/>
      <w:pPr>
        <w:ind w:left="0" w:firstLine="0"/>
      </w:pPr>
      <w:rPr>
        <w:rFonts w:hint="eastAsia" w:ascii="黑体" w:eastAsia="黑体"/>
      </w:rPr>
    </w:lvl>
    <w:lvl w:ilvl="4" w:tentative="0">
      <w:start w:val="1"/>
      <w:numFmt w:val="decimal"/>
      <w:pStyle w:val="210"/>
      <w:suff w:val="nothing"/>
      <w:lvlText w:val="0.%1.%2.%3.%4.%5　"/>
      <w:lvlJc w:val="left"/>
      <w:pPr>
        <w:ind w:left="0" w:firstLine="0"/>
      </w:pPr>
      <w:rPr>
        <w:rFonts w:hint="eastAsia" w:ascii="黑体" w:eastAsia="黑体"/>
      </w:rPr>
    </w:lvl>
    <w:lvl w:ilvl="5" w:tentative="0">
      <w:start w:val="1"/>
      <w:numFmt w:val="decimal"/>
      <w:pStyle w:val="231"/>
      <w:suff w:val="nothing"/>
      <w:lvlText w:val="0.%1.%2.%3.%4.%5.%6　"/>
      <w:lvlJc w:val="left"/>
      <w:pPr>
        <w:ind w:left="0" w:firstLine="0"/>
      </w:pPr>
      <w:rPr>
        <w:rFonts w:hint="eastAsia" w:ascii="黑体" w:eastAsia="黑体"/>
      </w:rPr>
    </w:lvl>
    <w:lvl w:ilvl="6" w:tentative="0">
      <w:start w:val="1"/>
      <w:numFmt w:val="decimal"/>
      <w:lvlRestart w:val="1"/>
      <w:pStyle w:val="181"/>
      <w:suff w:val="nothing"/>
      <w:lvlText w:val="表0.%7　"/>
      <w:lvlJc w:val="left"/>
      <w:pPr>
        <w:ind w:left="0" w:firstLine="0"/>
      </w:pPr>
      <w:rPr>
        <w:rFonts w:hint="eastAsia" w:ascii="黑体" w:eastAsia="黑体"/>
      </w:rPr>
    </w:lvl>
    <w:lvl w:ilvl="7" w:tentative="0">
      <w:start w:val="1"/>
      <w:numFmt w:val="decimal"/>
      <w:lvlRestart w:val="1"/>
      <w:pStyle w:val="236"/>
      <w:suff w:val="nothing"/>
      <w:lvlText w:val="图0.%8　"/>
      <w:lvlJc w:val="left"/>
      <w:pPr>
        <w:ind w:left="0" w:firstLine="0"/>
      </w:pPr>
      <w:rPr>
        <w:rFonts w:hint="eastAsia" w:ascii="黑体" w:eastAsia="黑体"/>
      </w:rPr>
    </w:lvl>
    <w:lvl w:ilvl="8" w:tentative="0">
      <w:start w:val="1"/>
      <w:numFmt w:val="decimal"/>
      <w:suff w:val="nothing"/>
      <w:lvlText w:val="%1.%2.%3.%4.%5.%6.%7.%8.%9"/>
      <w:lvlJc w:val="left"/>
      <w:pPr>
        <w:ind w:left="5102" w:hanging="1700"/>
      </w:pPr>
      <w:rPr>
        <w:rFonts w:hint="eastAsia"/>
      </w:rPr>
    </w:lvl>
  </w:abstractNum>
  <w:abstractNum w:abstractNumId="2">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10"/>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993"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3EA50CA7"/>
    <w:multiLevelType w:val="multilevel"/>
    <w:tmpl w:val="3EA50CA7"/>
    <w:lvl w:ilvl="0" w:tentative="0">
      <w:start w:val="1"/>
      <w:numFmt w:val="decimalZero"/>
      <w:pStyle w:val="332"/>
      <w:lvlText w:val="%1)"/>
      <w:lvlJc w:val="left"/>
      <w:pPr>
        <w:tabs>
          <w:tab w:val="left" w:pos="880"/>
        </w:tabs>
        <w:ind w:left="880" w:hanging="454"/>
      </w:pPr>
      <w:rPr>
        <w:rFonts w:hint="eastAsia"/>
      </w:r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4">
    <w:nsid w:val="407E65F9"/>
    <w:multiLevelType w:val="multilevel"/>
    <w:tmpl w:val="407E65F9"/>
    <w:lvl w:ilvl="0" w:tentative="0">
      <w:start w:val="1"/>
      <w:numFmt w:val="none"/>
      <w:pStyle w:val="254"/>
      <w:lvlText w:val="%1·　"/>
      <w:lvlJc w:val="left"/>
      <w:pPr>
        <w:tabs>
          <w:tab w:val="left" w:pos="1140"/>
        </w:tabs>
        <w:ind w:left="737" w:hanging="317"/>
      </w:pPr>
      <w:rPr>
        <w:rFonts w:hint="eastAsia" w:ascii="宋体" w:hAnsi="Times New Roman" w:eastAsia="宋体"/>
        <w:b w:val="0"/>
        <w:i w:val="0"/>
        <w:sz w:val="21"/>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5">
    <w:nsid w:val="44C50F90"/>
    <w:multiLevelType w:val="multilevel"/>
    <w:tmpl w:val="44C50F90"/>
    <w:lvl w:ilvl="0" w:tentative="0">
      <w:start w:val="1"/>
      <w:numFmt w:val="lowerLetter"/>
      <w:pStyle w:val="112"/>
      <w:lvlText w:val="%1)"/>
      <w:lvlJc w:val="left"/>
      <w:pPr>
        <w:tabs>
          <w:tab w:val="left" w:pos="839"/>
        </w:tabs>
        <w:ind w:left="839" w:hanging="419"/>
      </w:pPr>
      <w:rPr>
        <w:rFonts w:hint="eastAsia" w:ascii="宋体" w:hAnsi="宋体" w:eastAsia="宋体"/>
        <w:b w:val="0"/>
        <w:i w:val="0"/>
        <w:sz w:val="20"/>
        <w:szCs w:val="21"/>
      </w:rPr>
    </w:lvl>
    <w:lvl w:ilvl="1" w:tentative="0">
      <w:start w:val="1"/>
      <w:numFmt w:val="decimal"/>
      <w:lvlText w:val="%2)"/>
      <w:lvlJc w:val="left"/>
      <w:pPr>
        <w:tabs>
          <w:tab w:val="left" w:pos="1259"/>
        </w:tabs>
        <w:ind w:left="1259" w:hanging="420"/>
      </w:pPr>
      <w:rPr>
        <w:rFonts w:hint="eastAsia" w:ascii="宋体" w:hAnsi="宋体" w:eastAsia="宋体"/>
        <w:b w:val="0"/>
        <w:i w:val="0"/>
        <w:sz w:val="20"/>
      </w:rPr>
    </w:lvl>
    <w:lvl w:ilvl="2" w:tentative="0">
      <w:start w:val="1"/>
      <w:numFmt w:val="decimal"/>
      <w:lvlText w:val="(%3)"/>
      <w:lvlJc w:val="left"/>
      <w:pPr>
        <w:tabs>
          <w:tab w:val="left" w:pos="0"/>
        </w:tabs>
        <w:ind w:left="1678" w:hanging="419"/>
      </w:pPr>
      <w:rPr>
        <w:rFonts w:hint="eastAsia" w:ascii="宋体" w:hAnsi="宋体" w:eastAsia="宋体"/>
        <w:b w:val="0"/>
        <w:i w:val="0"/>
        <w:sz w:val="20"/>
        <w:szCs w:val="21"/>
      </w:rPr>
    </w:lvl>
    <w:lvl w:ilvl="3" w:tentative="0">
      <w:start w:val="1"/>
      <w:numFmt w:val="decimal"/>
      <w:lvlText w:val="%4."/>
      <w:lvlJc w:val="left"/>
      <w:pPr>
        <w:tabs>
          <w:tab w:val="left" w:pos="2098"/>
        </w:tabs>
        <w:ind w:left="2098" w:hanging="420"/>
      </w:pPr>
      <w:rPr>
        <w:rFonts w:hint="eastAsia"/>
      </w:rPr>
    </w:lvl>
    <w:lvl w:ilvl="4" w:tentative="0">
      <w:start w:val="1"/>
      <w:numFmt w:val="lowerLetter"/>
      <w:lvlText w:val="%5)"/>
      <w:lvlJc w:val="left"/>
      <w:pPr>
        <w:tabs>
          <w:tab w:val="left" w:pos="2517"/>
        </w:tabs>
        <w:ind w:left="2517" w:hanging="419"/>
      </w:pPr>
      <w:rPr>
        <w:rFonts w:hint="eastAsia"/>
      </w:rPr>
    </w:lvl>
    <w:lvl w:ilvl="5" w:tentative="0">
      <w:start w:val="1"/>
      <w:numFmt w:val="lowerRoman"/>
      <w:lvlText w:val="%6."/>
      <w:lvlJc w:val="right"/>
      <w:pPr>
        <w:tabs>
          <w:tab w:val="left" w:pos="2942"/>
        </w:tabs>
        <w:ind w:left="2937" w:hanging="420"/>
      </w:pPr>
      <w:rPr>
        <w:rFonts w:hint="eastAsia"/>
      </w:rPr>
    </w:lvl>
    <w:lvl w:ilvl="6" w:tentative="0">
      <w:start w:val="1"/>
      <w:numFmt w:val="decimal"/>
      <w:lvlText w:val="%7."/>
      <w:lvlJc w:val="left"/>
      <w:pPr>
        <w:tabs>
          <w:tab w:val="left" w:pos="3362"/>
        </w:tabs>
        <w:ind w:left="3356" w:hanging="414"/>
      </w:pPr>
      <w:rPr>
        <w:rFonts w:hint="eastAsia"/>
      </w:rPr>
    </w:lvl>
    <w:lvl w:ilvl="7" w:tentative="0">
      <w:start w:val="1"/>
      <w:numFmt w:val="lowerLetter"/>
      <w:lvlText w:val="%8)"/>
      <w:lvlJc w:val="left"/>
      <w:pPr>
        <w:tabs>
          <w:tab w:val="left" w:pos="3781"/>
        </w:tabs>
        <w:ind w:left="3776" w:hanging="414"/>
      </w:pPr>
      <w:rPr>
        <w:rFonts w:hint="eastAsia"/>
      </w:rPr>
    </w:lvl>
    <w:lvl w:ilvl="8" w:tentative="0">
      <w:start w:val="1"/>
      <w:numFmt w:val="lowerRoman"/>
      <w:lvlText w:val="%9."/>
      <w:lvlJc w:val="right"/>
      <w:pPr>
        <w:tabs>
          <w:tab w:val="left" w:pos="4201"/>
        </w:tabs>
        <w:ind w:left="4201" w:hanging="420"/>
      </w:pPr>
      <w:rPr>
        <w:rFonts w:hint="eastAsia"/>
      </w:rPr>
    </w:lvl>
  </w:abstractNum>
  <w:abstractNum w:abstractNumId="6">
    <w:nsid w:val="452274C7"/>
    <w:multiLevelType w:val="multilevel"/>
    <w:tmpl w:val="452274C7"/>
    <w:lvl w:ilvl="0" w:tentative="0">
      <w:start w:val="1"/>
      <w:numFmt w:val="decimal"/>
      <w:suff w:val="nothing"/>
      <w:lvlText w:val="%1　"/>
      <w:lvlJc w:val="left"/>
      <w:pPr>
        <w:ind w:left="0" w:firstLine="0"/>
      </w:pPr>
      <w:rPr>
        <w:rFonts w:hint="eastAsia" w:ascii="黑体" w:eastAsia="黑体"/>
      </w:rPr>
    </w:lvl>
    <w:lvl w:ilvl="1" w:tentative="0">
      <w:start w:val="1"/>
      <w:numFmt w:val="decimal"/>
      <w:pStyle w:val="218"/>
      <w:suff w:val="nothing"/>
      <w:lvlText w:val="%1.%2　"/>
      <w:lvlJc w:val="left"/>
      <w:pPr>
        <w:ind w:left="0" w:firstLine="0"/>
      </w:pPr>
      <w:rPr>
        <w:rFonts w:hint="eastAsia" w:ascii="黑体" w:eastAsia="黑体"/>
      </w:rPr>
    </w:lvl>
    <w:lvl w:ilvl="2" w:tentative="0">
      <w:start w:val="1"/>
      <w:numFmt w:val="decimal"/>
      <w:pStyle w:val="228"/>
      <w:suff w:val="nothing"/>
      <w:lvlText w:val="%1.%2.%3　"/>
      <w:lvlJc w:val="left"/>
      <w:pPr>
        <w:ind w:left="0" w:firstLine="0"/>
      </w:pPr>
      <w:rPr>
        <w:rFonts w:hint="eastAsia" w:ascii="黑体" w:eastAsia="黑体"/>
      </w:rPr>
    </w:lvl>
    <w:lvl w:ilvl="3" w:tentative="0">
      <w:start w:val="1"/>
      <w:numFmt w:val="decimal"/>
      <w:pStyle w:val="200"/>
      <w:suff w:val="nothing"/>
      <w:lvlText w:val="%1.%2.%3.%4　"/>
      <w:lvlJc w:val="left"/>
      <w:pPr>
        <w:ind w:left="0" w:firstLine="0"/>
      </w:pPr>
      <w:rPr>
        <w:rFonts w:hint="eastAsia" w:ascii="黑体" w:eastAsia="黑体"/>
      </w:rPr>
    </w:lvl>
    <w:lvl w:ilvl="4" w:tentative="0">
      <w:start w:val="1"/>
      <w:numFmt w:val="decimal"/>
      <w:suff w:val="nothing"/>
      <w:lvlText w:val="%1.%2.%3.%4.%5　"/>
      <w:lvlJc w:val="left"/>
      <w:pPr>
        <w:ind w:left="0" w:firstLine="0"/>
      </w:pPr>
      <w:rPr>
        <w:rFonts w:hint="eastAsia" w:ascii="黑体" w:eastAsia="黑体"/>
      </w:rPr>
    </w:lvl>
    <w:lvl w:ilvl="5" w:tentative="0">
      <w:start w:val="1"/>
      <w:numFmt w:val="decimal"/>
      <w:pStyle w:val="201"/>
      <w:suff w:val="nothing"/>
      <w:lvlText w:val="%1.%2.%3.%4.%5.%6　"/>
      <w:lvlJc w:val="left"/>
      <w:pPr>
        <w:ind w:left="0" w:firstLine="0"/>
      </w:pPr>
      <w:rPr>
        <w:rFonts w:hint="eastAsia" w:ascii="黑体" w:eastAsia="黑体"/>
      </w:rPr>
    </w:lvl>
    <w:lvl w:ilvl="6" w:tentative="0">
      <w:start w:val="1"/>
      <w:numFmt w:val="decimal"/>
      <w:lvlRestart w:val="0"/>
      <w:pStyle w:val="189"/>
      <w:suff w:val="nothing"/>
      <w:lvlText w:val="表%7　"/>
      <w:lvlJc w:val="left"/>
      <w:pPr>
        <w:ind w:left="0" w:firstLine="0"/>
      </w:pPr>
      <w:rPr>
        <w:rFonts w:hint="eastAsia" w:ascii="黑体" w:eastAsia="黑体"/>
      </w:rPr>
    </w:lvl>
    <w:lvl w:ilvl="7" w:tentative="0">
      <w:start w:val="1"/>
      <w:numFmt w:val="decimal"/>
      <w:lvlRestart w:val="0"/>
      <w:pStyle w:val="234"/>
      <w:suff w:val="nothing"/>
      <w:lvlText w:val="图%8　"/>
      <w:lvlJc w:val="left"/>
      <w:pPr>
        <w:ind w:left="0" w:firstLine="0"/>
      </w:pPr>
      <w:rPr>
        <w:rFonts w:hint="eastAsia" w:ascii="黑体" w:eastAsia="黑体"/>
      </w:rPr>
    </w:lvl>
    <w:lvl w:ilvl="8" w:tentative="0">
      <w:start w:val="1"/>
      <w:numFmt w:val="decimal"/>
      <w:lvlText w:val="%1.%2.%3.%4.%5.%6.%7.%8.%9"/>
      <w:lvlJc w:val="left"/>
      <w:pPr>
        <w:tabs>
          <w:tab w:val="left" w:pos="1584"/>
        </w:tabs>
        <w:ind w:left="1584" w:hanging="1584"/>
      </w:pPr>
      <w:rPr>
        <w:rFonts w:hint="eastAsia"/>
      </w:rPr>
    </w:lvl>
  </w:abstractNum>
  <w:abstractNum w:abstractNumId="7">
    <w:nsid w:val="496E4D7B"/>
    <w:multiLevelType w:val="multilevel"/>
    <w:tmpl w:val="496E4D7B"/>
    <w:lvl w:ilvl="0" w:tentative="0">
      <w:start w:val="1"/>
      <w:numFmt w:val="none"/>
      <w:pStyle w:val="211"/>
      <w:lvlText w:val="%1注"/>
      <w:lvlJc w:val="left"/>
      <w:pPr>
        <w:tabs>
          <w:tab w:val="left" w:pos="900"/>
        </w:tabs>
        <w:ind w:left="900" w:hanging="50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6CEA2025"/>
    <w:multiLevelType w:val="multilevel"/>
    <w:tmpl w:val="6CEA2025"/>
    <w:lvl w:ilvl="0" w:tentative="0">
      <w:start w:val="1"/>
      <w:numFmt w:val="none"/>
      <w:pStyle w:val="205"/>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b w:val="0"/>
        <w:i w:val="0"/>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9">
    <w:nsid w:val="6DBF04F4"/>
    <w:multiLevelType w:val="multilevel"/>
    <w:tmpl w:val="6DBF04F4"/>
    <w:lvl w:ilvl="0" w:tentative="0">
      <w:start w:val="1"/>
      <w:numFmt w:val="none"/>
      <w:pStyle w:val="244"/>
      <w:lvlText w:val="%1注："/>
      <w:lvlJc w:val="left"/>
      <w:pPr>
        <w:tabs>
          <w:tab w:val="left" w:pos="1140"/>
        </w:tabs>
        <w:ind w:left="840" w:hanging="42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76933334"/>
    <w:multiLevelType w:val="multilevel"/>
    <w:tmpl w:val="76933334"/>
    <w:lvl w:ilvl="0" w:tentative="0">
      <w:start w:val="1"/>
      <w:numFmt w:val="none"/>
      <w:pStyle w:val="217"/>
      <w:lvlText w:val="%1——"/>
      <w:lvlJc w:val="left"/>
      <w:pPr>
        <w:tabs>
          <w:tab w:val="left" w:pos="964"/>
        </w:tabs>
        <w:ind w:left="964" w:hanging="544"/>
      </w:pPr>
      <w:rPr>
        <w:rFonts w:hint="default" w:ascii="Times New Roman" w:hAnsi="Times New Roman" w:eastAsia="宋体"/>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1">
    <w:nsid w:val="77001089"/>
    <w:multiLevelType w:val="multilevel"/>
    <w:tmpl w:val="77001089"/>
    <w:lvl w:ilvl="0" w:tentative="0">
      <w:start w:val="1"/>
      <w:numFmt w:val="lowerLetter"/>
      <w:lvlText w:val="%1)"/>
      <w:lvlJc w:val="left"/>
      <w:pPr>
        <w:tabs>
          <w:tab w:val="left" w:pos="315"/>
        </w:tabs>
        <w:ind w:left="712" w:firstLine="23"/>
      </w:pPr>
      <w:rPr>
        <w:rFonts w:hint="default"/>
      </w:rPr>
    </w:lvl>
    <w:lvl w:ilvl="1" w:tentative="0">
      <w:start w:val="1"/>
      <w:numFmt w:val="lowerLetter"/>
      <w:pStyle w:val="316"/>
      <w:lvlText w:val="%2)"/>
      <w:lvlJc w:val="left"/>
      <w:pPr>
        <w:tabs>
          <w:tab w:val="left" w:pos="1575"/>
        </w:tabs>
        <w:ind w:left="1575" w:hanging="420"/>
      </w:pPr>
    </w:lvl>
    <w:lvl w:ilvl="2" w:tentative="0">
      <w:start w:val="1"/>
      <w:numFmt w:val="lowerRoman"/>
      <w:lvlText w:val="%3."/>
      <w:lvlJc w:val="right"/>
      <w:pPr>
        <w:tabs>
          <w:tab w:val="left" w:pos="1995"/>
        </w:tabs>
        <w:ind w:left="1995" w:hanging="420"/>
      </w:pPr>
    </w:lvl>
    <w:lvl w:ilvl="3" w:tentative="0">
      <w:start w:val="1"/>
      <w:numFmt w:val="decimal"/>
      <w:lvlText w:val="%4."/>
      <w:lvlJc w:val="left"/>
      <w:pPr>
        <w:tabs>
          <w:tab w:val="left" w:pos="2415"/>
        </w:tabs>
        <w:ind w:left="2415" w:hanging="420"/>
      </w:pPr>
    </w:lvl>
    <w:lvl w:ilvl="4" w:tentative="0">
      <w:start w:val="1"/>
      <w:numFmt w:val="lowerLetter"/>
      <w:lvlText w:val="%5)"/>
      <w:lvlJc w:val="left"/>
      <w:pPr>
        <w:tabs>
          <w:tab w:val="left" w:pos="2835"/>
        </w:tabs>
        <w:ind w:left="2835" w:hanging="420"/>
      </w:pPr>
    </w:lvl>
    <w:lvl w:ilvl="5" w:tentative="0">
      <w:start w:val="1"/>
      <w:numFmt w:val="lowerRoman"/>
      <w:lvlText w:val="%6."/>
      <w:lvlJc w:val="right"/>
      <w:pPr>
        <w:tabs>
          <w:tab w:val="left" w:pos="3255"/>
        </w:tabs>
        <w:ind w:left="3255" w:hanging="420"/>
      </w:pPr>
    </w:lvl>
    <w:lvl w:ilvl="6" w:tentative="0">
      <w:start w:val="1"/>
      <w:numFmt w:val="decimal"/>
      <w:lvlText w:val="%7."/>
      <w:lvlJc w:val="left"/>
      <w:pPr>
        <w:tabs>
          <w:tab w:val="left" w:pos="3675"/>
        </w:tabs>
        <w:ind w:left="3675" w:hanging="420"/>
      </w:pPr>
    </w:lvl>
    <w:lvl w:ilvl="7" w:tentative="0">
      <w:start w:val="1"/>
      <w:numFmt w:val="lowerLetter"/>
      <w:lvlText w:val="%8)"/>
      <w:lvlJc w:val="left"/>
      <w:pPr>
        <w:tabs>
          <w:tab w:val="left" w:pos="4095"/>
        </w:tabs>
        <w:ind w:left="4095" w:hanging="420"/>
      </w:pPr>
    </w:lvl>
    <w:lvl w:ilvl="8" w:tentative="0">
      <w:start w:val="1"/>
      <w:numFmt w:val="lowerRoman"/>
      <w:lvlText w:val="%9."/>
      <w:lvlJc w:val="right"/>
      <w:pPr>
        <w:tabs>
          <w:tab w:val="left" w:pos="4515"/>
        </w:tabs>
        <w:ind w:left="4515" w:hanging="420"/>
      </w:pPr>
    </w:lvl>
  </w:abstractNum>
  <w:num w:numId="1">
    <w:abstractNumId w:val="2"/>
  </w:num>
  <w:num w:numId="2">
    <w:abstractNumId w:val="5"/>
  </w:num>
  <w:num w:numId="3">
    <w:abstractNumId w:val="1"/>
  </w:num>
  <w:num w:numId="4">
    <w:abstractNumId w:val="6"/>
  </w:num>
  <w:num w:numId="5">
    <w:abstractNumId w:val="8"/>
  </w:num>
  <w:num w:numId="6">
    <w:abstractNumId w:val="7"/>
  </w:num>
  <w:num w:numId="7">
    <w:abstractNumId w:val="10"/>
  </w:num>
  <w:num w:numId="8">
    <w:abstractNumId w:val="9"/>
  </w:num>
  <w:num w:numId="9">
    <w:abstractNumId w:val="4"/>
  </w:num>
  <w:num w:numId="10">
    <w:abstractNumId w:val="0"/>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VjZGZmMjkwNTdmYTI2M2IwN2Q0NzhhMDUzZTVjMDUifQ=="/>
  </w:docVars>
  <w:rsids>
    <w:rsidRoot w:val="00310B94"/>
    <w:rsid w:val="00001CE6"/>
    <w:rsid w:val="00010F7D"/>
    <w:rsid w:val="00011DA2"/>
    <w:rsid w:val="00011DF1"/>
    <w:rsid w:val="00012B39"/>
    <w:rsid w:val="00013BF7"/>
    <w:rsid w:val="00013C1E"/>
    <w:rsid w:val="00015057"/>
    <w:rsid w:val="00015996"/>
    <w:rsid w:val="00016D96"/>
    <w:rsid w:val="000205F9"/>
    <w:rsid w:val="0002190F"/>
    <w:rsid w:val="00023513"/>
    <w:rsid w:val="00023CC5"/>
    <w:rsid w:val="00024792"/>
    <w:rsid w:val="00027AB7"/>
    <w:rsid w:val="00027B59"/>
    <w:rsid w:val="00032A25"/>
    <w:rsid w:val="00035FCB"/>
    <w:rsid w:val="00037970"/>
    <w:rsid w:val="00037D2F"/>
    <w:rsid w:val="00042251"/>
    <w:rsid w:val="000514C3"/>
    <w:rsid w:val="00052923"/>
    <w:rsid w:val="000531DA"/>
    <w:rsid w:val="0005525E"/>
    <w:rsid w:val="000603C2"/>
    <w:rsid w:val="00073671"/>
    <w:rsid w:val="00073C38"/>
    <w:rsid w:val="000764F6"/>
    <w:rsid w:val="00080D08"/>
    <w:rsid w:val="000851C5"/>
    <w:rsid w:val="0008614A"/>
    <w:rsid w:val="00086E4B"/>
    <w:rsid w:val="00090619"/>
    <w:rsid w:val="00093D05"/>
    <w:rsid w:val="000959F2"/>
    <w:rsid w:val="000970B3"/>
    <w:rsid w:val="000975DF"/>
    <w:rsid w:val="0009791F"/>
    <w:rsid w:val="000A2B98"/>
    <w:rsid w:val="000B0577"/>
    <w:rsid w:val="000B1372"/>
    <w:rsid w:val="000B3284"/>
    <w:rsid w:val="000B37CF"/>
    <w:rsid w:val="000B3825"/>
    <w:rsid w:val="000B4CFA"/>
    <w:rsid w:val="000C136F"/>
    <w:rsid w:val="000C1702"/>
    <w:rsid w:val="000C20E4"/>
    <w:rsid w:val="000C574F"/>
    <w:rsid w:val="000C7BC5"/>
    <w:rsid w:val="000D0BB3"/>
    <w:rsid w:val="000D2E57"/>
    <w:rsid w:val="000D36C1"/>
    <w:rsid w:val="000D5617"/>
    <w:rsid w:val="000D775E"/>
    <w:rsid w:val="000F29F2"/>
    <w:rsid w:val="000F74F8"/>
    <w:rsid w:val="000F7578"/>
    <w:rsid w:val="00101A83"/>
    <w:rsid w:val="00107C41"/>
    <w:rsid w:val="00110C29"/>
    <w:rsid w:val="00111A44"/>
    <w:rsid w:val="001155DA"/>
    <w:rsid w:val="001160AC"/>
    <w:rsid w:val="0012092D"/>
    <w:rsid w:val="00123B5B"/>
    <w:rsid w:val="00124F4B"/>
    <w:rsid w:val="00134CE4"/>
    <w:rsid w:val="00135DB4"/>
    <w:rsid w:val="00140D66"/>
    <w:rsid w:val="00142BA5"/>
    <w:rsid w:val="001439F9"/>
    <w:rsid w:val="0014630E"/>
    <w:rsid w:val="001521BD"/>
    <w:rsid w:val="00160654"/>
    <w:rsid w:val="00163CC9"/>
    <w:rsid w:val="001646F3"/>
    <w:rsid w:val="001653DA"/>
    <w:rsid w:val="00166022"/>
    <w:rsid w:val="0017273D"/>
    <w:rsid w:val="00172E61"/>
    <w:rsid w:val="00174179"/>
    <w:rsid w:val="00176AA5"/>
    <w:rsid w:val="00180061"/>
    <w:rsid w:val="00182F23"/>
    <w:rsid w:val="00185BEC"/>
    <w:rsid w:val="001963EF"/>
    <w:rsid w:val="001A6598"/>
    <w:rsid w:val="001B19B7"/>
    <w:rsid w:val="001B2437"/>
    <w:rsid w:val="001D1219"/>
    <w:rsid w:val="001D152C"/>
    <w:rsid w:val="001E120B"/>
    <w:rsid w:val="001E2249"/>
    <w:rsid w:val="001E389F"/>
    <w:rsid w:val="001E46A4"/>
    <w:rsid w:val="001E5655"/>
    <w:rsid w:val="001F0246"/>
    <w:rsid w:val="001F1B85"/>
    <w:rsid w:val="001F379B"/>
    <w:rsid w:val="00204DA4"/>
    <w:rsid w:val="0020672E"/>
    <w:rsid w:val="00215693"/>
    <w:rsid w:val="00230207"/>
    <w:rsid w:val="002340BE"/>
    <w:rsid w:val="00236BDF"/>
    <w:rsid w:val="00236D53"/>
    <w:rsid w:val="00237471"/>
    <w:rsid w:val="00243783"/>
    <w:rsid w:val="002457FC"/>
    <w:rsid w:val="0025397D"/>
    <w:rsid w:val="00253CF8"/>
    <w:rsid w:val="00265E26"/>
    <w:rsid w:val="00266D8D"/>
    <w:rsid w:val="00270EEC"/>
    <w:rsid w:val="002717BC"/>
    <w:rsid w:val="00271BF3"/>
    <w:rsid w:val="00272ED2"/>
    <w:rsid w:val="00274A97"/>
    <w:rsid w:val="0027671E"/>
    <w:rsid w:val="00282904"/>
    <w:rsid w:val="002871D5"/>
    <w:rsid w:val="00287573"/>
    <w:rsid w:val="00287C73"/>
    <w:rsid w:val="0029159E"/>
    <w:rsid w:val="0029422A"/>
    <w:rsid w:val="0029477B"/>
    <w:rsid w:val="00296DFF"/>
    <w:rsid w:val="002A2440"/>
    <w:rsid w:val="002B34F4"/>
    <w:rsid w:val="002C25D8"/>
    <w:rsid w:val="002C5EB0"/>
    <w:rsid w:val="002D13F9"/>
    <w:rsid w:val="002D428D"/>
    <w:rsid w:val="002D59FA"/>
    <w:rsid w:val="002D686E"/>
    <w:rsid w:val="002E1389"/>
    <w:rsid w:val="002E3368"/>
    <w:rsid w:val="002E4679"/>
    <w:rsid w:val="002E56A1"/>
    <w:rsid w:val="002F7C38"/>
    <w:rsid w:val="003025CD"/>
    <w:rsid w:val="003063E9"/>
    <w:rsid w:val="00306533"/>
    <w:rsid w:val="00310B94"/>
    <w:rsid w:val="00310CC2"/>
    <w:rsid w:val="00313A1C"/>
    <w:rsid w:val="00314765"/>
    <w:rsid w:val="00316E75"/>
    <w:rsid w:val="00326D22"/>
    <w:rsid w:val="003334C9"/>
    <w:rsid w:val="00345D9F"/>
    <w:rsid w:val="003515B9"/>
    <w:rsid w:val="00353314"/>
    <w:rsid w:val="00355999"/>
    <w:rsid w:val="0035621D"/>
    <w:rsid w:val="00361FA8"/>
    <w:rsid w:val="00364A0A"/>
    <w:rsid w:val="003668D5"/>
    <w:rsid w:val="00370AE8"/>
    <w:rsid w:val="0037128C"/>
    <w:rsid w:val="00373751"/>
    <w:rsid w:val="00382289"/>
    <w:rsid w:val="00384716"/>
    <w:rsid w:val="003863BE"/>
    <w:rsid w:val="00387D06"/>
    <w:rsid w:val="00390DB7"/>
    <w:rsid w:val="003A127D"/>
    <w:rsid w:val="003A160D"/>
    <w:rsid w:val="003A1697"/>
    <w:rsid w:val="003A4DFA"/>
    <w:rsid w:val="003A4F26"/>
    <w:rsid w:val="003A72E7"/>
    <w:rsid w:val="003B3635"/>
    <w:rsid w:val="003B414D"/>
    <w:rsid w:val="003C00E3"/>
    <w:rsid w:val="003C156E"/>
    <w:rsid w:val="003C4D67"/>
    <w:rsid w:val="003C4FA8"/>
    <w:rsid w:val="003D267C"/>
    <w:rsid w:val="003D48D1"/>
    <w:rsid w:val="003E6289"/>
    <w:rsid w:val="003F3273"/>
    <w:rsid w:val="0040382E"/>
    <w:rsid w:val="00405708"/>
    <w:rsid w:val="00407202"/>
    <w:rsid w:val="0041291F"/>
    <w:rsid w:val="0041496E"/>
    <w:rsid w:val="00416EED"/>
    <w:rsid w:val="004177A8"/>
    <w:rsid w:val="00421099"/>
    <w:rsid w:val="00422E05"/>
    <w:rsid w:val="004243CC"/>
    <w:rsid w:val="00426539"/>
    <w:rsid w:val="0043172D"/>
    <w:rsid w:val="00431991"/>
    <w:rsid w:val="00433FBE"/>
    <w:rsid w:val="00437F25"/>
    <w:rsid w:val="0044507F"/>
    <w:rsid w:val="004456E7"/>
    <w:rsid w:val="00445992"/>
    <w:rsid w:val="004467AC"/>
    <w:rsid w:val="00447866"/>
    <w:rsid w:val="004478D3"/>
    <w:rsid w:val="00453354"/>
    <w:rsid w:val="004564AC"/>
    <w:rsid w:val="00464B88"/>
    <w:rsid w:val="004656BF"/>
    <w:rsid w:val="004657DD"/>
    <w:rsid w:val="00466F0D"/>
    <w:rsid w:val="00467535"/>
    <w:rsid w:val="00470C7A"/>
    <w:rsid w:val="00471A5E"/>
    <w:rsid w:val="00475CD2"/>
    <w:rsid w:val="004905F4"/>
    <w:rsid w:val="004A30F2"/>
    <w:rsid w:val="004A40D2"/>
    <w:rsid w:val="004B3A16"/>
    <w:rsid w:val="004B65AE"/>
    <w:rsid w:val="004C14B4"/>
    <w:rsid w:val="004C4110"/>
    <w:rsid w:val="004C6EAD"/>
    <w:rsid w:val="004C7E62"/>
    <w:rsid w:val="004D0644"/>
    <w:rsid w:val="004D4275"/>
    <w:rsid w:val="004D4978"/>
    <w:rsid w:val="004E34CA"/>
    <w:rsid w:val="004E5044"/>
    <w:rsid w:val="004E51D6"/>
    <w:rsid w:val="004E7B9A"/>
    <w:rsid w:val="004E7E5F"/>
    <w:rsid w:val="004F0283"/>
    <w:rsid w:val="004F2FBF"/>
    <w:rsid w:val="005017A6"/>
    <w:rsid w:val="0050473D"/>
    <w:rsid w:val="00505503"/>
    <w:rsid w:val="00507E6C"/>
    <w:rsid w:val="00514B3A"/>
    <w:rsid w:val="005172F3"/>
    <w:rsid w:val="00522AA9"/>
    <w:rsid w:val="00524E6E"/>
    <w:rsid w:val="00525070"/>
    <w:rsid w:val="00530EBD"/>
    <w:rsid w:val="00534067"/>
    <w:rsid w:val="0053713B"/>
    <w:rsid w:val="00540023"/>
    <w:rsid w:val="0054645B"/>
    <w:rsid w:val="0054693A"/>
    <w:rsid w:val="00546FB9"/>
    <w:rsid w:val="0055201B"/>
    <w:rsid w:val="005557FF"/>
    <w:rsid w:val="00564AB6"/>
    <w:rsid w:val="00565A17"/>
    <w:rsid w:val="00572947"/>
    <w:rsid w:val="0057318A"/>
    <w:rsid w:val="00575025"/>
    <w:rsid w:val="0058156B"/>
    <w:rsid w:val="00586303"/>
    <w:rsid w:val="0059289F"/>
    <w:rsid w:val="00593772"/>
    <w:rsid w:val="005A0289"/>
    <w:rsid w:val="005A163D"/>
    <w:rsid w:val="005A61ED"/>
    <w:rsid w:val="005B00D2"/>
    <w:rsid w:val="005B0834"/>
    <w:rsid w:val="005C5DD3"/>
    <w:rsid w:val="005D04E4"/>
    <w:rsid w:val="005E1E7B"/>
    <w:rsid w:val="005E308C"/>
    <w:rsid w:val="005E3F92"/>
    <w:rsid w:val="005E6315"/>
    <w:rsid w:val="005F24AC"/>
    <w:rsid w:val="006034F8"/>
    <w:rsid w:val="00603DBC"/>
    <w:rsid w:val="0060490C"/>
    <w:rsid w:val="006104BE"/>
    <w:rsid w:val="0061181B"/>
    <w:rsid w:val="00614259"/>
    <w:rsid w:val="00614AB6"/>
    <w:rsid w:val="00614B48"/>
    <w:rsid w:val="00617F62"/>
    <w:rsid w:val="00621B79"/>
    <w:rsid w:val="00624122"/>
    <w:rsid w:val="0062490E"/>
    <w:rsid w:val="00626682"/>
    <w:rsid w:val="00632E83"/>
    <w:rsid w:val="006335A4"/>
    <w:rsid w:val="00646BD5"/>
    <w:rsid w:val="00650C99"/>
    <w:rsid w:val="0065253F"/>
    <w:rsid w:val="00652B2D"/>
    <w:rsid w:val="006542A7"/>
    <w:rsid w:val="0065702A"/>
    <w:rsid w:val="00657B8B"/>
    <w:rsid w:val="006606D1"/>
    <w:rsid w:val="0066193C"/>
    <w:rsid w:val="00662338"/>
    <w:rsid w:val="00665A72"/>
    <w:rsid w:val="00674094"/>
    <w:rsid w:val="00677B89"/>
    <w:rsid w:val="0068139D"/>
    <w:rsid w:val="00683222"/>
    <w:rsid w:val="00683A31"/>
    <w:rsid w:val="00692795"/>
    <w:rsid w:val="00693B94"/>
    <w:rsid w:val="00697078"/>
    <w:rsid w:val="006A198B"/>
    <w:rsid w:val="006A2312"/>
    <w:rsid w:val="006A2807"/>
    <w:rsid w:val="006A5230"/>
    <w:rsid w:val="006A70D4"/>
    <w:rsid w:val="006A7343"/>
    <w:rsid w:val="006B1990"/>
    <w:rsid w:val="006B33DE"/>
    <w:rsid w:val="006B656C"/>
    <w:rsid w:val="006C0CDB"/>
    <w:rsid w:val="006C3C07"/>
    <w:rsid w:val="006C49F8"/>
    <w:rsid w:val="006C6D8F"/>
    <w:rsid w:val="006C6FA1"/>
    <w:rsid w:val="006D09EF"/>
    <w:rsid w:val="006D0BD5"/>
    <w:rsid w:val="006E0122"/>
    <w:rsid w:val="006E215B"/>
    <w:rsid w:val="006E332F"/>
    <w:rsid w:val="006E36CF"/>
    <w:rsid w:val="006E776A"/>
    <w:rsid w:val="006F0F6B"/>
    <w:rsid w:val="006F3283"/>
    <w:rsid w:val="006F3E6B"/>
    <w:rsid w:val="006F66A0"/>
    <w:rsid w:val="00700099"/>
    <w:rsid w:val="00704DC2"/>
    <w:rsid w:val="00707DFC"/>
    <w:rsid w:val="0071112F"/>
    <w:rsid w:val="0071392D"/>
    <w:rsid w:val="0072174A"/>
    <w:rsid w:val="00722F3F"/>
    <w:rsid w:val="0073012D"/>
    <w:rsid w:val="0073106D"/>
    <w:rsid w:val="00731351"/>
    <w:rsid w:val="00733C96"/>
    <w:rsid w:val="007366DC"/>
    <w:rsid w:val="00737172"/>
    <w:rsid w:val="0073750B"/>
    <w:rsid w:val="00740927"/>
    <w:rsid w:val="00742224"/>
    <w:rsid w:val="00744330"/>
    <w:rsid w:val="00745CF8"/>
    <w:rsid w:val="00753304"/>
    <w:rsid w:val="00756E52"/>
    <w:rsid w:val="00760E52"/>
    <w:rsid w:val="00761EBE"/>
    <w:rsid w:val="0076288C"/>
    <w:rsid w:val="00765598"/>
    <w:rsid w:val="00766A09"/>
    <w:rsid w:val="00780698"/>
    <w:rsid w:val="00785B9F"/>
    <w:rsid w:val="00785F67"/>
    <w:rsid w:val="00791E46"/>
    <w:rsid w:val="00792387"/>
    <w:rsid w:val="00793AC9"/>
    <w:rsid w:val="00793FF8"/>
    <w:rsid w:val="007A00D8"/>
    <w:rsid w:val="007A2860"/>
    <w:rsid w:val="007A2939"/>
    <w:rsid w:val="007A2A42"/>
    <w:rsid w:val="007A5848"/>
    <w:rsid w:val="007B48E7"/>
    <w:rsid w:val="007C18C6"/>
    <w:rsid w:val="007C6C8D"/>
    <w:rsid w:val="007D6DDE"/>
    <w:rsid w:val="007E35A5"/>
    <w:rsid w:val="007E7A47"/>
    <w:rsid w:val="007F30DA"/>
    <w:rsid w:val="007F6A29"/>
    <w:rsid w:val="0080246A"/>
    <w:rsid w:val="00802A14"/>
    <w:rsid w:val="008044F0"/>
    <w:rsid w:val="0080592C"/>
    <w:rsid w:val="00806130"/>
    <w:rsid w:val="00810774"/>
    <w:rsid w:val="00812DC9"/>
    <w:rsid w:val="00815E95"/>
    <w:rsid w:val="00820016"/>
    <w:rsid w:val="008212E8"/>
    <w:rsid w:val="008218F3"/>
    <w:rsid w:val="008233A4"/>
    <w:rsid w:val="00827209"/>
    <w:rsid w:val="00831718"/>
    <w:rsid w:val="00833D0E"/>
    <w:rsid w:val="00835B63"/>
    <w:rsid w:val="00837B81"/>
    <w:rsid w:val="00840262"/>
    <w:rsid w:val="00842B8D"/>
    <w:rsid w:val="00843808"/>
    <w:rsid w:val="008479C2"/>
    <w:rsid w:val="008506DF"/>
    <w:rsid w:val="008560A6"/>
    <w:rsid w:val="008565C2"/>
    <w:rsid w:val="00857943"/>
    <w:rsid w:val="00857CD6"/>
    <w:rsid w:val="00860E8A"/>
    <w:rsid w:val="00862C92"/>
    <w:rsid w:val="0086656F"/>
    <w:rsid w:val="0087687C"/>
    <w:rsid w:val="00881D5A"/>
    <w:rsid w:val="00883425"/>
    <w:rsid w:val="00884978"/>
    <w:rsid w:val="00884C84"/>
    <w:rsid w:val="00896AD1"/>
    <w:rsid w:val="008A0301"/>
    <w:rsid w:val="008A297D"/>
    <w:rsid w:val="008A3904"/>
    <w:rsid w:val="008A4622"/>
    <w:rsid w:val="008A46FA"/>
    <w:rsid w:val="008B016C"/>
    <w:rsid w:val="008B03F5"/>
    <w:rsid w:val="008B2EB6"/>
    <w:rsid w:val="008B440A"/>
    <w:rsid w:val="008B4FFB"/>
    <w:rsid w:val="008C789E"/>
    <w:rsid w:val="008D09D7"/>
    <w:rsid w:val="008D0C3D"/>
    <w:rsid w:val="008E2432"/>
    <w:rsid w:val="008E433C"/>
    <w:rsid w:val="008E5B56"/>
    <w:rsid w:val="008E5E81"/>
    <w:rsid w:val="008E7AA4"/>
    <w:rsid w:val="008E7F47"/>
    <w:rsid w:val="008F1AE5"/>
    <w:rsid w:val="008F285C"/>
    <w:rsid w:val="008F6E70"/>
    <w:rsid w:val="008F7B87"/>
    <w:rsid w:val="00900E71"/>
    <w:rsid w:val="009027C3"/>
    <w:rsid w:val="009041A9"/>
    <w:rsid w:val="0090491B"/>
    <w:rsid w:val="00906AF2"/>
    <w:rsid w:val="00910B3D"/>
    <w:rsid w:val="00917066"/>
    <w:rsid w:val="0091790D"/>
    <w:rsid w:val="00921AAC"/>
    <w:rsid w:val="00923158"/>
    <w:rsid w:val="0092327A"/>
    <w:rsid w:val="00924830"/>
    <w:rsid w:val="00927EFA"/>
    <w:rsid w:val="00935062"/>
    <w:rsid w:val="0093776D"/>
    <w:rsid w:val="00941499"/>
    <w:rsid w:val="00945506"/>
    <w:rsid w:val="00945801"/>
    <w:rsid w:val="00952B61"/>
    <w:rsid w:val="00952B73"/>
    <w:rsid w:val="00970DCA"/>
    <w:rsid w:val="0097122D"/>
    <w:rsid w:val="00971D68"/>
    <w:rsid w:val="00972AB1"/>
    <w:rsid w:val="00976DEF"/>
    <w:rsid w:val="0097740D"/>
    <w:rsid w:val="009779C7"/>
    <w:rsid w:val="00981E35"/>
    <w:rsid w:val="009822E1"/>
    <w:rsid w:val="00990893"/>
    <w:rsid w:val="0099509F"/>
    <w:rsid w:val="009A18FF"/>
    <w:rsid w:val="009A31DB"/>
    <w:rsid w:val="009A548C"/>
    <w:rsid w:val="009A7523"/>
    <w:rsid w:val="009B22B7"/>
    <w:rsid w:val="009B4B7E"/>
    <w:rsid w:val="009C3C69"/>
    <w:rsid w:val="009C6609"/>
    <w:rsid w:val="009D22DB"/>
    <w:rsid w:val="009D39BF"/>
    <w:rsid w:val="009D7BDD"/>
    <w:rsid w:val="009E14D1"/>
    <w:rsid w:val="009E74C5"/>
    <w:rsid w:val="009F26D5"/>
    <w:rsid w:val="009F797E"/>
    <w:rsid w:val="00A0021E"/>
    <w:rsid w:val="00A01CE9"/>
    <w:rsid w:val="00A03151"/>
    <w:rsid w:val="00A0411A"/>
    <w:rsid w:val="00A045C1"/>
    <w:rsid w:val="00A06EBA"/>
    <w:rsid w:val="00A07AC4"/>
    <w:rsid w:val="00A20331"/>
    <w:rsid w:val="00A20419"/>
    <w:rsid w:val="00A21A7C"/>
    <w:rsid w:val="00A24451"/>
    <w:rsid w:val="00A2471E"/>
    <w:rsid w:val="00A312FE"/>
    <w:rsid w:val="00A3230E"/>
    <w:rsid w:val="00A34C33"/>
    <w:rsid w:val="00A35E94"/>
    <w:rsid w:val="00A36A94"/>
    <w:rsid w:val="00A42B52"/>
    <w:rsid w:val="00A46448"/>
    <w:rsid w:val="00A46611"/>
    <w:rsid w:val="00A46CCC"/>
    <w:rsid w:val="00A4789F"/>
    <w:rsid w:val="00A602E1"/>
    <w:rsid w:val="00A60CA4"/>
    <w:rsid w:val="00A6274F"/>
    <w:rsid w:val="00A73CB3"/>
    <w:rsid w:val="00A7660A"/>
    <w:rsid w:val="00A82132"/>
    <w:rsid w:val="00A829A4"/>
    <w:rsid w:val="00A82E0A"/>
    <w:rsid w:val="00A84310"/>
    <w:rsid w:val="00A843F8"/>
    <w:rsid w:val="00A84595"/>
    <w:rsid w:val="00A95635"/>
    <w:rsid w:val="00AA0DAE"/>
    <w:rsid w:val="00AA648F"/>
    <w:rsid w:val="00AB6CB7"/>
    <w:rsid w:val="00AC3D62"/>
    <w:rsid w:val="00AC4E80"/>
    <w:rsid w:val="00AC7C1C"/>
    <w:rsid w:val="00AD2775"/>
    <w:rsid w:val="00AD442D"/>
    <w:rsid w:val="00AD568A"/>
    <w:rsid w:val="00AD5B62"/>
    <w:rsid w:val="00AD6643"/>
    <w:rsid w:val="00AE0BE5"/>
    <w:rsid w:val="00AE7960"/>
    <w:rsid w:val="00AF09AB"/>
    <w:rsid w:val="00AF0CF1"/>
    <w:rsid w:val="00AF56D6"/>
    <w:rsid w:val="00AF5DF1"/>
    <w:rsid w:val="00B02F71"/>
    <w:rsid w:val="00B07F73"/>
    <w:rsid w:val="00B14313"/>
    <w:rsid w:val="00B17F6C"/>
    <w:rsid w:val="00B25A53"/>
    <w:rsid w:val="00B2781C"/>
    <w:rsid w:val="00B3052F"/>
    <w:rsid w:val="00B305CE"/>
    <w:rsid w:val="00B375CB"/>
    <w:rsid w:val="00B37E02"/>
    <w:rsid w:val="00B4337C"/>
    <w:rsid w:val="00B44697"/>
    <w:rsid w:val="00B451A5"/>
    <w:rsid w:val="00B460EE"/>
    <w:rsid w:val="00B475E1"/>
    <w:rsid w:val="00B50D50"/>
    <w:rsid w:val="00B52FCC"/>
    <w:rsid w:val="00B57AAF"/>
    <w:rsid w:val="00B6173C"/>
    <w:rsid w:val="00B61E0A"/>
    <w:rsid w:val="00B62FB4"/>
    <w:rsid w:val="00B64347"/>
    <w:rsid w:val="00B65235"/>
    <w:rsid w:val="00B67165"/>
    <w:rsid w:val="00B70660"/>
    <w:rsid w:val="00B80650"/>
    <w:rsid w:val="00B86B7A"/>
    <w:rsid w:val="00B86CD1"/>
    <w:rsid w:val="00B94893"/>
    <w:rsid w:val="00BA28EF"/>
    <w:rsid w:val="00BA3C32"/>
    <w:rsid w:val="00BA4A7B"/>
    <w:rsid w:val="00BA4F2B"/>
    <w:rsid w:val="00BA5F70"/>
    <w:rsid w:val="00BA68C6"/>
    <w:rsid w:val="00BB6B08"/>
    <w:rsid w:val="00BB7BAC"/>
    <w:rsid w:val="00BC0147"/>
    <w:rsid w:val="00BC05D4"/>
    <w:rsid w:val="00BC2BC7"/>
    <w:rsid w:val="00BC676A"/>
    <w:rsid w:val="00BD1E44"/>
    <w:rsid w:val="00BD2805"/>
    <w:rsid w:val="00BD570E"/>
    <w:rsid w:val="00BD6A3C"/>
    <w:rsid w:val="00BE1C0C"/>
    <w:rsid w:val="00BE3098"/>
    <w:rsid w:val="00BE566A"/>
    <w:rsid w:val="00BE61D8"/>
    <w:rsid w:val="00BF1053"/>
    <w:rsid w:val="00BF42D8"/>
    <w:rsid w:val="00BF7676"/>
    <w:rsid w:val="00C00C53"/>
    <w:rsid w:val="00C06AD7"/>
    <w:rsid w:val="00C1165C"/>
    <w:rsid w:val="00C129EC"/>
    <w:rsid w:val="00C14AA9"/>
    <w:rsid w:val="00C158D3"/>
    <w:rsid w:val="00C17511"/>
    <w:rsid w:val="00C21856"/>
    <w:rsid w:val="00C22F2C"/>
    <w:rsid w:val="00C24814"/>
    <w:rsid w:val="00C24B7C"/>
    <w:rsid w:val="00C27394"/>
    <w:rsid w:val="00C27935"/>
    <w:rsid w:val="00C312CC"/>
    <w:rsid w:val="00C318F4"/>
    <w:rsid w:val="00C32B2C"/>
    <w:rsid w:val="00C33600"/>
    <w:rsid w:val="00C34CE7"/>
    <w:rsid w:val="00C4260B"/>
    <w:rsid w:val="00C501D6"/>
    <w:rsid w:val="00C50965"/>
    <w:rsid w:val="00C55513"/>
    <w:rsid w:val="00C5761B"/>
    <w:rsid w:val="00C600FB"/>
    <w:rsid w:val="00C610AA"/>
    <w:rsid w:val="00C628A8"/>
    <w:rsid w:val="00C65FBC"/>
    <w:rsid w:val="00C6748C"/>
    <w:rsid w:val="00C7626F"/>
    <w:rsid w:val="00C828A1"/>
    <w:rsid w:val="00C83741"/>
    <w:rsid w:val="00C87238"/>
    <w:rsid w:val="00C87BA4"/>
    <w:rsid w:val="00C90058"/>
    <w:rsid w:val="00C9229D"/>
    <w:rsid w:val="00C944F6"/>
    <w:rsid w:val="00CA3140"/>
    <w:rsid w:val="00CB0F14"/>
    <w:rsid w:val="00CB5643"/>
    <w:rsid w:val="00CC0259"/>
    <w:rsid w:val="00CC21AB"/>
    <w:rsid w:val="00CC236C"/>
    <w:rsid w:val="00CC3B80"/>
    <w:rsid w:val="00CC3DA5"/>
    <w:rsid w:val="00CC504B"/>
    <w:rsid w:val="00CC7DC7"/>
    <w:rsid w:val="00CD423C"/>
    <w:rsid w:val="00CD45EC"/>
    <w:rsid w:val="00CD697E"/>
    <w:rsid w:val="00CE428D"/>
    <w:rsid w:val="00CF4887"/>
    <w:rsid w:val="00CF4F25"/>
    <w:rsid w:val="00D00A25"/>
    <w:rsid w:val="00D01DE8"/>
    <w:rsid w:val="00D026DA"/>
    <w:rsid w:val="00D0322B"/>
    <w:rsid w:val="00D03444"/>
    <w:rsid w:val="00D104D1"/>
    <w:rsid w:val="00D10A8E"/>
    <w:rsid w:val="00D10A94"/>
    <w:rsid w:val="00D133DA"/>
    <w:rsid w:val="00D20329"/>
    <w:rsid w:val="00D22C64"/>
    <w:rsid w:val="00D22D37"/>
    <w:rsid w:val="00D25C2A"/>
    <w:rsid w:val="00D40E57"/>
    <w:rsid w:val="00D42A0D"/>
    <w:rsid w:val="00D44F5B"/>
    <w:rsid w:val="00D47E61"/>
    <w:rsid w:val="00D600A1"/>
    <w:rsid w:val="00D60DEA"/>
    <w:rsid w:val="00D65A7D"/>
    <w:rsid w:val="00D67227"/>
    <w:rsid w:val="00D74719"/>
    <w:rsid w:val="00D74985"/>
    <w:rsid w:val="00D7647E"/>
    <w:rsid w:val="00D76A3F"/>
    <w:rsid w:val="00D83DEE"/>
    <w:rsid w:val="00D977F7"/>
    <w:rsid w:val="00DA074D"/>
    <w:rsid w:val="00DA27FA"/>
    <w:rsid w:val="00DA4DC8"/>
    <w:rsid w:val="00DA4F7A"/>
    <w:rsid w:val="00DA6756"/>
    <w:rsid w:val="00DA6B3E"/>
    <w:rsid w:val="00DB6F68"/>
    <w:rsid w:val="00DC1527"/>
    <w:rsid w:val="00DC17DC"/>
    <w:rsid w:val="00DD16EE"/>
    <w:rsid w:val="00DD2322"/>
    <w:rsid w:val="00DD655B"/>
    <w:rsid w:val="00DE3C19"/>
    <w:rsid w:val="00DE569E"/>
    <w:rsid w:val="00DE7948"/>
    <w:rsid w:val="00DF1EDF"/>
    <w:rsid w:val="00DF2C41"/>
    <w:rsid w:val="00DF50CE"/>
    <w:rsid w:val="00E014C6"/>
    <w:rsid w:val="00E0207E"/>
    <w:rsid w:val="00E02B4C"/>
    <w:rsid w:val="00E030CC"/>
    <w:rsid w:val="00E041CD"/>
    <w:rsid w:val="00E11648"/>
    <w:rsid w:val="00E1298F"/>
    <w:rsid w:val="00E14555"/>
    <w:rsid w:val="00E156CB"/>
    <w:rsid w:val="00E17D07"/>
    <w:rsid w:val="00E20B69"/>
    <w:rsid w:val="00E2170A"/>
    <w:rsid w:val="00E22D4C"/>
    <w:rsid w:val="00E24373"/>
    <w:rsid w:val="00E34FDF"/>
    <w:rsid w:val="00E47B57"/>
    <w:rsid w:val="00E51CFC"/>
    <w:rsid w:val="00E71CC3"/>
    <w:rsid w:val="00E71F0D"/>
    <w:rsid w:val="00E7611F"/>
    <w:rsid w:val="00E81BBC"/>
    <w:rsid w:val="00E8317F"/>
    <w:rsid w:val="00E83230"/>
    <w:rsid w:val="00E83B87"/>
    <w:rsid w:val="00E83DC2"/>
    <w:rsid w:val="00E85101"/>
    <w:rsid w:val="00E86117"/>
    <w:rsid w:val="00E87214"/>
    <w:rsid w:val="00E950C6"/>
    <w:rsid w:val="00E950EB"/>
    <w:rsid w:val="00E959BB"/>
    <w:rsid w:val="00EA233B"/>
    <w:rsid w:val="00EA2FC5"/>
    <w:rsid w:val="00EA3080"/>
    <w:rsid w:val="00EA53F2"/>
    <w:rsid w:val="00EA68FE"/>
    <w:rsid w:val="00EB075D"/>
    <w:rsid w:val="00EB2B27"/>
    <w:rsid w:val="00EB49D6"/>
    <w:rsid w:val="00ED399A"/>
    <w:rsid w:val="00ED4E15"/>
    <w:rsid w:val="00ED4F4F"/>
    <w:rsid w:val="00ED54A9"/>
    <w:rsid w:val="00ED5F03"/>
    <w:rsid w:val="00ED7CAB"/>
    <w:rsid w:val="00EE3C5D"/>
    <w:rsid w:val="00EE6AB5"/>
    <w:rsid w:val="00EE72E1"/>
    <w:rsid w:val="00EE742C"/>
    <w:rsid w:val="00EF0A1A"/>
    <w:rsid w:val="00EF34EF"/>
    <w:rsid w:val="00EF3635"/>
    <w:rsid w:val="00EF5389"/>
    <w:rsid w:val="00F00B99"/>
    <w:rsid w:val="00F0135A"/>
    <w:rsid w:val="00F01472"/>
    <w:rsid w:val="00F02E2E"/>
    <w:rsid w:val="00F11741"/>
    <w:rsid w:val="00F1581B"/>
    <w:rsid w:val="00F2219D"/>
    <w:rsid w:val="00F22895"/>
    <w:rsid w:val="00F23624"/>
    <w:rsid w:val="00F258C1"/>
    <w:rsid w:val="00F377BC"/>
    <w:rsid w:val="00F37855"/>
    <w:rsid w:val="00F52267"/>
    <w:rsid w:val="00F53CA2"/>
    <w:rsid w:val="00F55F77"/>
    <w:rsid w:val="00F57C4E"/>
    <w:rsid w:val="00F6707B"/>
    <w:rsid w:val="00F76CF6"/>
    <w:rsid w:val="00F87CB1"/>
    <w:rsid w:val="00F87D7F"/>
    <w:rsid w:val="00F92F6C"/>
    <w:rsid w:val="00F9714A"/>
    <w:rsid w:val="00FA0333"/>
    <w:rsid w:val="00FA1E35"/>
    <w:rsid w:val="00FA31FF"/>
    <w:rsid w:val="00FA55D4"/>
    <w:rsid w:val="00FA7AFE"/>
    <w:rsid w:val="00FB65C0"/>
    <w:rsid w:val="00FC619E"/>
    <w:rsid w:val="00FD09D4"/>
    <w:rsid w:val="00FD0E47"/>
    <w:rsid w:val="00FD1AB6"/>
    <w:rsid w:val="00FD27E5"/>
    <w:rsid w:val="00FD3F38"/>
    <w:rsid w:val="00FD55F6"/>
    <w:rsid w:val="00FE038B"/>
    <w:rsid w:val="00FE2067"/>
    <w:rsid w:val="00FF0856"/>
    <w:rsid w:val="00FF13D1"/>
    <w:rsid w:val="00FF3F6C"/>
    <w:rsid w:val="01EB45BC"/>
    <w:rsid w:val="026B0F09"/>
    <w:rsid w:val="03612751"/>
    <w:rsid w:val="0BE50260"/>
    <w:rsid w:val="0E5C3F1B"/>
    <w:rsid w:val="0E734059"/>
    <w:rsid w:val="0F384BB8"/>
    <w:rsid w:val="11162CD7"/>
    <w:rsid w:val="166B7621"/>
    <w:rsid w:val="181141F9"/>
    <w:rsid w:val="1D6F5C49"/>
    <w:rsid w:val="21B96C1D"/>
    <w:rsid w:val="254B6F9C"/>
    <w:rsid w:val="2A1262DA"/>
    <w:rsid w:val="2CE941B0"/>
    <w:rsid w:val="31BD2FCF"/>
    <w:rsid w:val="366A124C"/>
    <w:rsid w:val="36963DEF"/>
    <w:rsid w:val="376C3B84"/>
    <w:rsid w:val="396957EB"/>
    <w:rsid w:val="3D8B6100"/>
    <w:rsid w:val="456A6B72"/>
    <w:rsid w:val="46D52711"/>
    <w:rsid w:val="4B8169C4"/>
    <w:rsid w:val="535E4A64"/>
    <w:rsid w:val="553D7E00"/>
    <w:rsid w:val="564B02FA"/>
    <w:rsid w:val="5E783C56"/>
    <w:rsid w:val="5ED03A93"/>
    <w:rsid w:val="63461D64"/>
    <w:rsid w:val="63972DD1"/>
    <w:rsid w:val="63B40DC3"/>
    <w:rsid w:val="659A6BA8"/>
    <w:rsid w:val="667F4AA9"/>
    <w:rsid w:val="672C1A82"/>
    <w:rsid w:val="67A05FCC"/>
    <w:rsid w:val="68893DB0"/>
    <w:rsid w:val="68B77753"/>
    <w:rsid w:val="6E9248C1"/>
    <w:rsid w:val="6F286FD3"/>
    <w:rsid w:val="7242304A"/>
    <w:rsid w:val="75AC449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9" w:semiHidden="0" w:name="heading 2" w:locked="1"/>
    <w:lsdException w:qFormat="1" w:unhideWhenUsed="0" w:uiPriority="9" w:semiHidden="0" w:name="heading 3" w:locked="1"/>
    <w:lsdException w:qFormat="1" w:unhideWhenUsed="0" w:uiPriority="9" w:semiHidden="0" w:name="heading 4" w:locked="1"/>
    <w:lsdException w:qFormat="1" w:unhideWhenUsed="0" w:uiPriority="9" w:semiHidden="0" w:name="heading 5" w:locked="1"/>
    <w:lsdException w:qFormat="1" w:unhideWhenUsed="0" w:uiPriority="0" w:semiHidden="0" w:name="heading 6" w:locked="1"/>
    <w:lsdException w:qFormat="1" w:unhideWhenUsed="0" w:uiPriority="0" w:semiHidden="0" w:name="heading 7" w:locked="1"/>
    <w:lsdException w:qFormat="1" w:unhideWhenUsed="0" w:uiPriority="0" w:semiHidden="0" w:name="heading 8" w:locked="1"/>
    <w:lsdException w:qFormat="1" w:unhideWhenUsed="0" w:uiPriority="0" w:semiHidden="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1" w:semiHidden="0" w:name="toc 1" w:locked="1"/>
    <w:lsdException w:qFormat="1" w:uiPriority="39" w:semiHidden="0" w:name="toc 2" w:locked="1"/>
    <w:lsdException w:qFormat="1" w:uiPriority="39"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0" w:semiHidden="0" w:name="Normal Indent"/>
    <w:lsdException w:qFormat="1" w:uiPriority="99" w:semiHidden="0" w:name="footnote text"/>
    <w:lsdException w:qFormat="1"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semiHidden="0" w:name="caption" w:locked="1"/>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qFormat="1" w:unhideWhenUsed="0" w:uiPriority="0" w:semiHidden="0"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1"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ocked="1"/>
    <w:lsdException w:qFormat="1" w:unhideWhenUsed="0" w:uiPriority="20" w:semiHidden="0" w:name="Emphasis" w:locked="1"/>
    <w:lsdException w:qFormat="1" w:unhideWhenUsed="0" w:uiPriority="0" w:semiHidden="0" w:name="Document Map"/>
    <w:lsdException w:qFormat="1" w:unhideWhenUsed="0" w:uiPriority="0" w:semiHidden="0" w:name="Plain Text"/>
    <w:lsdException w:qFormat="1" w:unhideWhenUsed="0" w:uiPriority="0" w:semiHidden="0" w:name="E-mail Signature"/>
    <w:lsdException w:qFormat="1" w:uiPriority="99" w:semiHidden="0" w:name="Normal (Web)"/>
    <w:lsdException w:uiPriority="99" w:name="HTML Acronym"/>
    <w:lsdException w:uiPriority="99"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iPriority="99" w:semiHidden="0" w:name="HTML Preformatted"/>
    <w:lsdException w:qFormat="1" w:unhideWhenUsed="0" w:uiPriority="0" w:semiHidden="0" w:name="HTML Sample"/>
    <w:lsdException w:qFormat="1" w:unhideWhenUsed="0" w:uiPriority="0" w:semiHidden="0"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qFormat="1" w:unhideWhenUsed="0" w:uiPriority="0" w:semiHidden="0"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61"/>
    <w:qFormat/>
    <w:locked/>
    <w:uiPriority w:val="9"/>
    <w:pPr>
      <w:keepNext/>
      <w:keepLines/>
      <w:spacing w:before="340" w:after="330" w:line="578" w:lineRule="auto"/>
      <w:outlineLvl w:val="0"/>
    </w:pPr>
    <w:rPr>
      <w:rFonts w:asciiTheme="minorHAnsi" w:hAnsiTheme="minorHAnsi" w:eastAsiaTheme="minorEastAsia" w:cstheme="minorBidi"/>
      <w:b/>
      <w:bCs/>
      <w:kern w:val="44"/>
      <w:sz w:val="44"/>
      <w:szCs w:val="44"/>
    </w:rPr>
  </w:style>
  <w:style w:type="paragraph" w:styleId="4">
    <w:name w:val="heading 2"/>
    <w:basedOn w:val="1"/>
    <w:next w:val="1"/>
    <w:link w:val="64"/>
    <w:qFormat/>
    <w:locked/>
    <w:uiPriority w:val="9"/>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link w:val="65"/>
    <w:qFormat/>
    <w:locked/>
    <w:uiPriority w:val="9"/>
    <w:pPr>
      <w:keepNext/>
      <w:keepLines/>
      <w:spacing w:before="260" w:after="260" w:line="416" w:lineRule="auto"/>
      <w:outlineLvl w:val="2"/>
    </w:pPr>
    <w:rPr>
      <w:rFonts w:ascii="Times New Roman" w:hAnsi="Times New Roman"/>
      <w:b/>
      <w:bCs/>
      <w:sz w:val="32"/>
      <w:szCs w:val="32"/>
    </w:rPr>
  </w:style>
  <w:style w:type="paragraph" w:styleId="6">
    <w:name w:val="heading 4"/>
    <w:basedOn w:val="1"/>
    <w:next w:val="7"/>
    <w:link w:val="135"/>
    <w:qFormat/>
    <w:locked/>
    <w:uiPriority w:val="9"/>
    <w:pPr>
      <w:keepNext/>
      <w:keepLines/>
      <w:spacing w:before="280" w:after="290" w:line="376" w:lineRule="auto"/>
      <w:outlineLvl w:val="3"/>
    </w:pPr>
    <w:rPr>
      <w:rFonts w:ascii="Arial" w:hAnsi="Arial" w:eastAsia="黑体"/>
      <w:b/>
      <w:sz w:val="28"/>
      <w:szCs w:val="20"/>
      <w:lang w:val="zh-CN"/>
    </w:rPr>
  </w:style>
  <w:style w:type="paragraph" w:styleId="8">
    <w:name w:val="heading 5"/>
    <w:basedOn w:val="1"/>
    <w:next w:val="7"/>
    <w:link w:val="67"/>
    <w:qFormat/>
    <w:locked/>
    <w:uiPriority w:val="9"/>
    <w:pPr>
      <w:keepNext/>
      <w:keepLines/>
      <w:spacing w:before="280" w:after="290" w:line="376" w:lineRule="auto"/>
      <w:outlineLvl w:val="4"/>
    </w:pPr>
    <w:rPr>
      <w:rFonts w:ascii="Times New Roman" w:hAnsi="Times New Roman"/>
      <w:b/>
      <w:sz w:val="28"/>
      <w:szCs w:val="20"/>
      <w:lang w:val="zh-CN"/>
    </w:rPr>
  </w:style>
  <w:style w:type="paragraph" w:styleId="9">
    <w:name w:val="heading 6"/>
    <w:basedOn w:val="1"/>
    <w:next w:val="7"/>
    <w:link w:val="68"/>
    <w:qFormat/>
    <w:locked/>
    <w:uiPriority w:val="0"/>
    <w:pPr>
      <w:keepNext/>
      <w:keepLines/>
      <w:spacing w:before="240" w:after="64" w:line="320" w:lineRule="auto"/>
      <w:outlineLvl w:val="5"/>
    </w:pPr>
    <w:rPr>
      <w:rFonts w:ascii="Arial" w:hAnsi="Arial" w:eastAsia="黑体"/>
      <w:b/>
      <w:sz w:val="24"/>
      <w:szCs w:val="20"/>
      <w:lang w:val="zh-CN"/>
    </w:rPr>
  </w:style>
  <w:style w:type="paragraph" w:styleId="10">
    <w:name w:val="heading 7"/>
    <w:basedOn w:val="1"/>
    <w:next w:val="7"/>
    <w:link w:val="69"/>
    <w:qFormat/>
    <w:locked/>
    <w:uiPriority w:val="0"/>
    <w:pPr>
      <w:keepNext/>
      <w:keepLines/>
      <w:spacing w:before="240" w:after="64" w:line="320" w:lineRule="auto"/>
      <w:outlineLvl w:val="6"/>
    </w:pPr>
    <w:rPr>
      <w:rFonts w:ascii="Times New Roman" w:hAnsi="Times New Roman"/>
      <w:b/>
      <w:sz w:val="24"/>
      <w:szCs w:val="20"/>
      <w:lang w:val="zh-CN"/>
    </w:rPr>
  </w:style>
  <w:style w:type="paragraph" w:styleId="11">
    <w:name w:val="heading 8"/>
    <w:basedOn w:val="1"/>
    <w:next w:val="7"/>
    <w:link w:val="70"/>
    <w:qFormat/>
    <w:locked/>
    <w:uiPriority w:val="0"/>
    <w:pPr>
      <w:keepNext/>
      <w:keepLines/>
      <w:spacing w:before="240" w:after="64" w:line="320" w:lineRule="auto"/>
      <w:outlineLvl w:val="7"/>
    </w:pPr>
    <w:rPr>
      <w:rFonts w:ascii="Arial" w:hAnsi="Arial" w:eastAsia="黑体"/>
      <w:sz w:val="24"/>
      <w:szCs w:val="20"/>
      <w:lang w:val="zh-CN"/>
    </w:rPr>
  </w:style>
  <w:style w:type="paragraph" w:styleId="12">
    <w:name w:val="heading 9"/>
    <w:basedOn w:val="1"/>
    <w:next w:val="7"/>
    <w:link w:val="71"/>
    <w:qFormat/>
    <w:locked/>
    <w:uiPriority w:val="0"/>
    <w:pPr>
      <w:keepNext/>
      <w:keepLines/>
      <w:spacing w:before="240" w:after="64" w:line="320" w:lineRule="auto"/>
      <w:outlineLvl w:val="8"/>
    </w:pPr>
    <w:rPr>
      <w:rFonts w:ascii="Arial" w:hAnsi="Arial" w:eastAsia="黑体"/>
      <w:szCs w:val="20"/>
      <w:lang w:val="zh-CN"/>
    </w:rPr>
  </w:style>
  <w:style w:type="character" w:default="1" w:styleId="41">
    <w:name w:val="Default Paragraph Font"/>
    <w:semiHidden/>
    <w:unhideWhenUsed/>
    <w:qFormat/>
    <w:uiPriority w:val="1"/>
  </w:style>
  <w:style w:type="table" w:default="1" w:styleId="3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73"/>
    <w:qFormat/>
    <w:uiPriority w:val="1"/>
    <w:pPr>
      <w:widowControl/>
      <w:jc w:val="left"/>
    </w:pPr>
    <w:rPr>
      <w:rFonts w:ascii="Times New Roman" w:hAnsi="Times New Roman"/>
      <w:kern w:val="0"/>
      <w:sz w:val="24"/>
      <w:szCs w:val="20"/>
    </w:rPr>
  </w:style>
  <w:style w:type="paragraph" w:styleId="7">
    <w:name w:val="Normal Indent"/>
    <w:basedOn w:val="1"/>
    <w:link w:val="313"/>
    <w:qFormat/>
    <w:uiPriority w:val="0"/>
    <w:pPr>
      <w:ind w:firstLine="420"/>
    </w:pPr>
    <w:rPr>
      <w:rFonts w:ascii="Times New Roman" w:hAnsi="Times New Roman"/>
      <w:szCs w:val="20"/>
    </w:rPr>
  </w:style>
  <w:style w:type="paragraph" w:styleId="13">
    <w:name w:val="E-mail Signature"/>
    <w:basedOn w:val="1"/>
    <w:link w:val="294"/>
    <w:qFormat/>
    <w:uiPriority w:val="0"/>
    <w:rPr>
      <w:szCs w:val="24"/>
    </w:rPr>
  </w:style>
  <w:style w:type="paragraph" w:styleId="14">
    <w:name w:val="caption"/>
    <w:basedOn w:val="1"/>
    <w:next w:val="1"/>
    <w:unhideWhenUsed/>
    <w:qFormat/>
    <w:locked/>
    <w:uiPriority w:val="0"/>
    <w:rPr>
      <w:rFonts w:eastAsia="黑体" w:asciiTheme="majorHAnsi" w:hAnsiTheme="majorHAnsi" w:cstheme="majorBidi"/>
      <w:sz w:val="20"/>
      <w:szCs w:val="20"/>
    </w:rPr>
  </w:style>
  <w:style w:type="paragraph" w:styleId="15">
    <w:name w:val="Document Map"/>
    <w:basedOn w:val="1"/>
    <w:link w:val="132"/>
    <w:qFormat/>
    <w:uiPriority w:val="0"/>
    <w:pPr>
      <w:shd w:val="clear" w:color="auto" w:fill="000080"/>
    </w:pPr>
  </w:style>
  <w:style w:type="paragraph" w:styleId="16">
    <w:name w:val="annotation text"/>
    <w:basedOn w:val="1"/>
    <w:link w:val="59"/>
    <w:unhideWhenUsed/>
    <w:qFormat/>
    <w:uiPriority w:val="0"/>
    <w:pPr>
      <w:jc w:val="left"/>
    </w:pPr>
  </w:style>
  <w:style w:type="paragraph" w:styleId="17">
    <w:name w:val="Body Text 3"/>
    <w:basedOn w:val="1"/>
    <w:link w:val="81"/>
    <w:qFormat/>
    <w:uiPriority w:val="0"/>
    <w:pPr>
      <w:spacing w:after="120"/>
    </w:pPr>
    <w:rPr>
      <w:rFonts w:ascii="Times New Roman" w:hAnsi="Times New Roman"/>
      <w:sz w:val="16"/>
      <w:szCs w:val="16"/>
    </w:rPr>
  </w:style>
  <w:style w:type="paragraph" w:styleId="18">
    <w:name w:val="Body Text Indent"/>
    <w:basedOn w:val="1"/>
    <w:link w:val="75"/>
    <w:qFormat/>
    <w:uiPriority w:val="0"/>
    <w:pPr>
      <w:spacing w:line="360" w:lineRule="auto"/>
      <w:ind w:left="564"/>
    </w:pPr>
    <w:rPr>
      <w:rFonts w:ascii="Times New Roman" w:hAnsi="Times New Roman"/>
      <w:szCs w:val="20"/>
    </w:rPr>
  </w:style>
  <w:style w:type="paragraph" w:styleId="19">
    <w:name w:val="Block Text"/>
    <w:basedOn w:val="1"/>
    <w:qFormat/>
    <w:uiPriority w:val="0"/>
    <w:pPr>
      <w:spacing w:line="360" w:lineRule="auto"/>
      <w:ind w:left="564" w:right="26"/>
    </w:pPr>
    <w:rPr>
      <w:rFonts w:ascii="宋体" w:hAnsi="Times New Roman"/>
      <w:color w:val="000000"/>
      <w:szCs w:val="20"/>
    </w:rPr>
  </w:style>
  <w:style w:type="paragraph" w:styleId="20">
    <w:name w:val="toc 3"/>
    <w:basedOn w:val="1"/>
    <w:next w:val="1"/>
    <w:unhideWhenUsed/>
    <w:qFormat/>
    <w:locked/>
    <w:uiPriority w:val="39"/>
    <w:pPr>
      <w:ind w:left="840" w:leftChars="400"/>
    </w:pPr>
    <w:rPr>
      <w:rFonts w:asciiTheme="minorHAnsi" w:hAnsiTheme="minorHAnsi" w:eastAsiaTheme="minorEastAsia" w:cstheme="minorBidi"/>
    </w:rPr>
  </w:style>
  <w:style w:type="paragraph" w:styleId="21">
    <w:name w:val="Plain Text"/>
    <w:basedOn w:val="1"/>
    <w:link w:val="79"/>
    <w:qFormat/>
    <w:uiPriority w:val="0"/>
    <w:pPr>
      <w:widowControl/>
      <w:jc w:val="left"/>
    </w:pPr>
    <w:rPr>
      <w:rFonts w:ascii="Courier New" w:hAnsi="Courier New"/>
      <w:kern w:val="0"/>
      <w:sz w:val="20"/>
      <w:szCs w:val="20"/>
    </w:rPr>
  </w:style>
  <w:style w:type="paragraph" w:styleId="22">
    <w:name w:val="Date"/>
    <w:basedOn w:val="1"/>
    <w:next w:val="1"/>
    <w:link w:val="63"/>
    <w:unhideWhenUsed/>
    <w:qFormat/>
    <w:uiPriority w:val="0"/>
    <w:pPr>
      <w:ind w:left="100" w:leftChars="2500"/>
    </w:pPr>
  </w:style>
  <w:style w:type="paragraph" w:styleId="23">
    <w:name w:val="Body Text Indent 2"/>
    <w:basedOn w:val="1"/>
    <w:link w:val="76"/>
    <w:qFormat/>
    <w:uiPriority w:val="0"/>
    <w:pPr>
      <w:ind w:left="468" w:leftChars="223"/>
    </w:pPr>
    <w:rPr>
      <w:rFonts w:ascii="Times New Roman" w:hAnsi="Times New Roman"/>
      <w:szCs w:val="20"/>
    </w:rPr>
  </w:style>
  <w:style w:type="paragraph" w:styleId="24">
    <w:name w:val="Balloon Text"/>
    <w:basedOn w:val="1"/>
    <w:link w:val="58"/>
    <w:qFormat/>
    <w:uiPriority w:val="0"/>
    <w:rPr>
      <w:sz w:val="18"/>
      <w:szCs w:val="18"/>
    </w:rPr>
  </w:style>
  <w:style w:type="paragraph" w:styleId="25">
    <w:name w:val="footer"/>
    <w:basedOn w:val="1"/>
    <w:link w:val="57"/>
    <w:qFormat/>
    <w:uiPriority w:val="99"/>
    <w:pPr>
      <w:tabs>
        <w:tab w:val="center" w:pos="4153"/>
        <w:tab w:val="right" w:pos="8306"/>
      </w:tabs>
      <w:snapToGrid w:val="0"/>
      <w:jc w:val="left"/>
    </w:pPr>
    <w:rPr>
      <w:sz w:val="18"/>
      <w:szCs w:val="18"/>
    </w:rPr>
  </w:style>
  <w:style w:type="paragraph" w:styleId="26">
    <w:name w:val="header"/>
    <w:basedOn w:val="1"/>
    <w:link w:val="56"/>
    <w:qFormat/>
    <w:uiPriority w:val="99"/>
    <w:pPr>
      <w:pBdr>
        <w:bottom w:val="single" w:color="auto" w:sz="6" w:space="1"/>
      </w:pBdr>
      <w:tabs>
        <w:tab w:val="center" w:pos="4153"/>
        <w:tab w:val="right" w:pos="8306"/>
      </w:tabs>
      <w:snapToGrid w:val="0"/>
      <w:jc w:val="center"/>
    </w:pPr>
    <w:rPr>
      <w:sz w:val="18"/>
      <w:szCs w:val="18"/>
    </w:rPr>
  </w:style>
  <w:style w:type="paragraph" w:styleId="27">
    <w:name w:val="toc 1"/>
    <w:basedOn w:val="1"/>
    <w:next w:val="1"/>
    <w:unhideWhenUsed/>
    <w:qFormat/>
    <w:locked/>
    <w:uiPriority w:val="1"/>
    <w:pPr>
      <w:tabs>
        <w:tab w:val="right" w:leader="dot" w:pos="8296"/>
      </w:tabs>
    </w:pPr>
    <w:rPr>
      <w:rFonts w:ascii="仿宋" w:hAnsi="仿宋" w:eastAsia="仿宋" w:cstheme="minorBidi"/>
      <w:b/>
    </w:rPr>
  </w:style>
  <w:style w:type="paragraph" w:styleId="28">
    <w:name w:val="Subtitle"/>
    <w:basedOn w:val="1"/>
    <w:next w:val="1"/>
    <w:link w:val="275"/>
    <w:qFormat/>
    <w:locked/>
    <w:uiPriority w:val="0"/>
    <w:pPr>
      <w:spacing w:before="240" w:after="60" w:line="312" w:lineRule="auto"/>
      <w:jc w:val="center"/>
      <w:outlineLvl w:val="1"/>
    </w:pPr>
    <w:rPr>
      <w:rFonts w:ascii="Cambria" w:hAnsi="Cambria"/>
      <w:b/>
      <w:bCs/>
      <w:kern w:val="28"/>
      <w:sz w:val="32"/>
      <w:szCs w:val="32"/>
    </w:rPr>
  </w:style>
  <w:style w:type="paragraph" w:styleId="29">
    <w:name w:val="footnote text"/>
    <w:basedOn w:val="1"/>
    <w:link w:val="107"/>
    <w:unhideWhenUsed/>
    <w:qFormat/>
    <w:uiPriority w:val="99"/>
    <w:pPr>
      <w:snapToGrid w:val="0"/>
      <w:jc w:val="left"/>
    </w:pPr>
    <w:rPr>
      <w:sz w:val="18"/>
      <w:szCs w:val="18"/>
    </w:rPr>
  </w:style>
  <w:style w:type="paragraph" w:styleId="30">
    <w:name w:val="List 5"/>
    <w:basedOn w:val="1"/>
    <w:qFormat/>
    <w:uiPriority w:val="0"/>
    <w:pPr>
      <w:ind w:left="2100" w:hanging="420"/>
    </w:pPr>
    <w:rPr>
      <w:rFonts w:ascii="Times New Roman" w:hAnsi="Times New Roman"/>
      <w:szCs w:val="20"/>
    </w:rPr>
  </w:style>
  <w:style w:type="paragraph" w:styleId="31">
    <w:name w:val="Body Text Indent 3"/>
    <w:basedOn w:val="1"/>
    <w:link w:val="77"/>
    <w:qFormat/>
    <w:uiPriority w:val="0"/>
    <w:pPr>
      <w:ind w:firstLine="376" w:firstLineChars="179"/>
    </w:pPr>
    <w:rPr>
      <w:rFonts w:ascii="宋体" w:hAnsi="宋体"/>
      <w:szCs w:val="20"/>
    </w:rPr>
  </w:style>
  <w:style w:type="paragraph" w:styleId="32">
    <w:name w:val="toc 2"/>
    <w:basedOn w:val="1"/>
    <w:next w:val="1"/>
    <w:unhideWhenUsed/>
    <w:qFormat/>
    <w:locked/>
    <w:uiPriority w:val="39"/>
    <w:pPr>
      <w:ind w:left="420" w:leftChars="200"/>
    </w:pPr>
    <w:rPr>
      <w:rFonts w:asciiTheme="minorHAnsi" w:hAnsiTheme="minorHAnsi" w:eastAsiaTheme="minorEastAsia" w:cstheme="minorBidi"/>
    </w:rPr>
  </w:style>
  <w:style w:type="paragraph" w:styleId="33">
    <w:name w:val="Body Text 2"/>
    <w:basedOn w:val="1"/>
    <w:link w:val="74"/>
    <w:qFormat/>
    <w:uiPriority w:val="0"/>
    <w:pPr>
      <w:spacing w:line="360" w:lineRule="auto"/>
    </w:pPr>
    <w:rPr>
      <w:rFonts w:ascii="Times New Roman" w:hAnsi="Times New Roman"/>
      <w:sz w:val="24"/>
      <w:szCs w:val="20"/>
    </w:rPr>
  </w:style>
  <w:style w:type="paragraph" w:styleId="34">
    <w:name w:val="HTML Preformatted"/>
    <w:basedOn w:val="1"/>
    <w:link w:val="33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Cs w:val="21"/>
    </w:rPr>
  </w:style>
  <w:style w:type="paragraph" w:styleId="35">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36">
    <w:name w:val="Title"/>
    <w:basedOn w:val="1"/>
    <w:next w:val="1"/>
    <w:link w:val="271"/>
    <w:qFormat/>
    <w:locked/>
    <w:uiPriority w:val="0"/>
    <w:pPr>
      <w:spacing w:before="240" w:after="60"/>
      <w:jc w:val="center"/>
      <w:outlineLvl w:val="0"/>
    </w:pPr>
    <w:rPr>
      <w:rFonts w:ascii="Cambria" w:hAnsi="Cambria"/>
      <w:b/>
      <w:bCs/>
      <w:sz w:val="32"/>
      <w:szCs w:val="32"/>
    </w:rPr>
  </w:style>
  <w:style w:type="paragraph" w:styleId="37">
    <w:name w:val="annotation subject"/>
    <w:basedOn w:val="16"/>
    <w:next w:val="16"/>
    <w:link w:val="60"/>
    <w:unhideWhenUsed/>
    <w:qFormat/>
    <w:uiPriority w:val="99"/>
    <w:rPr>
      <w:b/>
      <w:bCs/>
    </w:rPr>
  </w:style>
  <w:style w:type="table" w:styleId="39">
    <w:name w:val="Table Grid"/>
    <w:basedOn w:val="3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40">
    <w:name w:val="Table List 3"/>
    <w:basedOn w:val="38"/>
    <w:qFormat/>
    <w:uiPriority w:val="0"/>
    <w:pPr>
      <w:widowControl w:val="0"/>
      <w:jc w:val="both"/>
    </w:pPr>
    <w:rPr>
      <w:rFonts w:ascii="Times New Roman" w:hAnsi="Times New Roman"/>
    </w:r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character" w:styleId="42">
    <w:name w:val="Strong"/>
    <w:qFormat/>
    <w:locked/>
    <w:uiPriority w:val="0"/>
    <w:rPr>
      <w:b/>
      <w:bCs/>
    </w:rPr>
  </w:style>
  <w:style w:type="character" w:styleId="43">
    <w:name w:val="page number"/>
    <w:basedOn w:val="41"/>
    <w:qFormat/>
    <w:uiPriority w:val="99"/>
    <w:rPr>
      <w:rFonts w:cs="Times New Roman"/>
    </w:rPr>
  </w:style>
  <w:style w:type="character" w:styleId="44">
    <w:name w:val="FollowedHyperlink"/>
    <w:qFormat/>
    <w:uiPriority w:val="0"/>
    <w:rPr>
      <w:color w:val="800080"/>
      <w:u w:val="single"/>
    </w:rPr>
  </w:style>
  <w:style w:type="character" w:styleId="45">
    <w:name w:val="Emphasis"/>
    <w:qFormat/>
    <w:locked/>
    <w:uiPriority w:val="20"/>
    <w:rPr>
      <w:color w:val="CC0000"/>
    </w:rPr>
  </w:style>
  <w:style w:type="character" w:styleId="46">
    <w:name w:val="HTML Definition"/>
    <w:qFormat/>
    <w:uiPriority w:val="0"/>
    <w:rPr>
      <w:i/>
    </w:rPr>
  </w:style>
  <w:style w:type="character" w:styleId="47">
    <w:name w:val="HTML Typewriter"/>
    <w:qFormat/>
    <w:uiPriority w:val="0"/>
    <w:rPr>
      <w:rFonts w:ascii="Courier New" w:hAnsi="Courier New" w:cs="Courier New"/>
      <w:sz w:val="20"/>
      <w:szCs w:val="20"/>
    </w:rPr>
  </w:style>
  <w:style w:type="character" w:styleId="48">
    <w:name w:val="Hyperlink"/>
    <w:qFormat/>
    <w:uiPriority w:val="0"/>
    <w:rPr>
      <w:rFonts w:hint="default"/>
      <w:color w:val="000000"/>
      <w:sz w:val="18"/>
      <w:szCs w:val="18"/>
      <w:u w:val="none"/>
    </w:rPr>
  </w:style>
  <w:style w:type="character" w:styleId="49">
    <w:name w:val="HTML Code"/>
    <w:qFormat/>
    <w:uiPriority w:val="0"/>
    <w:rPr>
      <w:rFonts w:hint="default" w:ascii="Menlo" w:hAnsi="Menlo" w:eastAsia="Menlo" w:cs="Menlo"/>
      <w:color w:val="C7254E"/>
      <w:sz w:val="21"/>
      <w:szCs w:val="21"/>
      <w:shd w:val="clear" w:color="auto" w:fill="F9F2F4"/>
    </w:rPr>
  </w:style>
  <w:style w:type="character" w:styleId="50">
    <w:name w:val="annotation reference"/>
    <w:basedOn w:val="41"/>
    <w:unhideWhenUsed/>
    <w:qFormat/>
    <w:uiPriority w:val="99"/>
    <w:rPr>
      <w:sz w:val="21"/>
      <w:szCs w:val="21"/>
    </w:rPr>
  </w:style>
  <w:style w:type="character" w:styleId="51">
    <w:name w:val="HTML Cite"/>
    <w:qFormat/>
    <w:uiPriority w:val="0"/>
  </w:style>
  <w:style w:type="character" w:styleId="52">
    <w:name w:val="footnote reference"/>
    <w:unhideWhenUsed/>
    <w:qFormat/>
    <w:uiPriority w:val="99"/>
    <w:rPr>
      <w:vertAlign w:val="superscript"/>
    </w:rPr>
  </w:style>
  <w:style w:type="character" w:styleId="53">
    <w:name w:val="HTML Keyboard"/>
    <w:qFormat/>
    <w:uiPriority w:val="0"/>
    <w:rPr>
      <w:rFonts w:ascii="Menlo" w:hAnsi="Menlo" w:eastAsia="Menlo" w:cs="Menlo"/>
      <w:color w:val="FFFFFF"/>
      <w:sz w:val="21"/>
      <w:szCs w:val="21"/>
      <w:shd w:val="clear" w:color="auto" w:fill="333333"/>
    </w:rPr>
  </w:style>
  <w:style w:type="character" w:styleId="54">
    <w:name w:val="HTML Sample"/>
    <w:qFormat/>
    <w:uiPriority w:val="0"/>
    <w:rPr>
      <w:rFonts w:hint="default" w:ascii="Menlo" w:hAnsi="Menlo" w:eastAsia="Menlo" w:cs="Menlo"/>
      <w:sz w:val="21"/>
      <w:szCs w:val="21"/>
    </w:rPr>
  </w:style>
  <w:style w:type="paragraph" w:styleId="55">
    <w:name w:val="List Paragraph"/>
    <w:basedOn w:val="1"/>
    <w:link w:val="270"/>
    <w:qFormat/>
    <w:uiPriority w:val="1"/>
    <w:pPr>
      <w:ind w:firstLine="420" w:firstLineChars="200"/>
    </w:pPr>
  </w:style>
  <w:style w:type="character" w:customStyle="1" w:styleId="56">
    <w:name w:val="页眉 字符"/>
    <w:basedOn w:val="41"/>
    <w:link w:val="26"/>
    <w:qFormat/>
    <w:locked/>
    <w:uiPriority w:val="99"/>
    <w:rPr>
      <w:rFonts w:cs="Times New Roman"/>
      <w:sz w:val="18"/>
      <w:szCs w:val="18"/>
    </w:rPr>
  </w:style>
  <w:style w:type="character" w:customStyle="1" w:styleId="57">
    <w:name w:val="页脚 字符"/>
    <w:basedOn w:val="41"/>
    <w:link w:val="25"/>
    <w:qFormat/>
    <w:locked/>
    <w:uiPriority w:val="99"/>
    <w:rPr>
      <w:rFonts w:cs="Times New Roman"/>
      <w:sz w:val="18"/>
      <w:szCs w:val="18"/>
    </w:rPr>
  </w:style>
  <w:style w:type="character" w:customStyle="1" w:styleId="58">
    <w:name w:val="批注框文本 字符"/>
    <w:basedOn w:val="41"/>
    <w:link w:val="24"/>
    <w:qFormat/>
    <w:locked/>
    <w:uiPriority w:val="0"/>
    <w:rPr>
      <w:rFonts w:cs="Times New Roman"/>
      <w:sz w:val="18"/>
      <w:szCs w:val="18"/>
    </w:rPr>
  </w:style>
  <w:style w:type="character" w:customStyle="1" w:styleId="59">
    <w:name w:val="批注文字 字符"/>
    <w:basedOn w:val="41"/>
    <w:link w:val="16"/>
    <w:qFormat/>
    <w:uiPriority w:val="0"/>
  </w:style>
  <w:style w:type="character" w:customStyle="1" w:styleId="60">
    <w:name w:val="批注主题 字符"/>
    <w:basedOn w:val="59"/>
    <w:link w:val="37"/>
    <w:qFormat/>
    <w:uiPriority w:val="99"/>
    <w:rPr>
      <w:b/>
      <w:bCs/>
    </w:rPr>
  </w:style>
  <w:style w:type="character" w:customStyle="1" w:styleId="61">
    <w:name w:val="标题 1 字符"/>
    <w:basedOn w:val="41"/>
    <w:link w:val="3"/>
    <w:qFormat/>
    <w:uiPriority w:val="0"/>
    <w:rPr>
      <w:rFonts w:asciiTheme="minorHAnsi" w:hAnsiTheme="minorHAnsi" w:eastAsiaTheme="minorEastAsia" w:cstheme="minorBidi"/>
      <w:b/>
      <w:bCs/>
      <w:kern w:val="44"/>
      <w:sz w:val="44"/>
      <w:szCs w:val="44"/>
    </w:rPr>
  </w:style>
  <w:style w:type="paragraph" w:styleId="62">
    <w:name w:val="No Spacing"/>
    <w:link w:val="299"/>
    <w:qFormat/>
    <w:uiPriority w:val="0"/>
    <w:pPr>
      <w:widowControl w:val="0"/>
      <w:spacing w:line="360" w:lineRule="auto"/>
      <w:jc w:val="center"/>
    </w:pPr>
    <w:rPr>
      <w:rFonts w:ascii="宋体" w:hAnsi="宋体" w:eastAsia="宋体" w:cstheme="minorBidi"/>
      <w:kern w:val="2"/>
      <w:sz w:val="21"/>
      <w:szCs w:val="22"/>
      <w:lang w:val="en-US" w:eastAsia="zh-CN" w:bidi="ar-SA"/>
    </w:rPr>
  </w:style>
  <w:style w:type="character" w:customStyle="1" w:styleId="63">
    <w:name w:val="日期 字符"/>
    <w:basedOn w:val="41"/>
    <w:link w:val="22"/>
    <w:qFormat/>
    <w:uiPriority w:val="0"/>
  </w:style>
  <w:style w:type="character" w:customStyle="1" w:styleId="64">
    <w:name w:val="标题 2 字符"/>
    <w:basedOn w:val="41"/>
    <w:link w:val="4"/>
    <w:qFormat/>
    <w:uiPriority w:val="0"/>
    <w:rPr>
      <w:rFonts w:ascii="Arial" w:hAnsi="Arial" w:eastAsia="黑体"/>
      <w:b/>
      <w:bCs/>
      <w:sz w:val="32"/>
      <w:szCs w:val="32"/>
    </w:rPr>
  </w:style>
  <w:style w:type="character" w:customStyle="1" w:styleId="65">
    <w:name w:val="标题 3 字符"/>
    <w:basedOn w:val="41"/>
    <w:link w:val="5"/>
    <w:qFormat/>
    <w:uiPriority w:val="0"/>
    <w:rPr>
      <w:rFonts w:ascii="Times New Roman" w:hAnsi="Times New Roman"/>
      <w:b/>
      <w:bCs/>
      <w:sz w:val="32"/>
      <w:szCs w:val="32"/>
    </w:rPr>
  </w:style>
  <w:style w:type="character" w:customStyle="1" w:styleId="66">
    <w:name w:val="标题 4 字符"/>
    <w:basedOn w:val="41"/>
    <w:semiHidden/>
    <w:qFormat/>
    <w:uiPriority w:val="9"/>
    <w:rPr>
      <w:rFonts w:asciiTheme="majorHAnsi" w:hAnsiTheme="majorHAnsi" w:eastAsiaTheme="majorEastAsia" w:cstheme="majorBidi"/>
      <w:b/>
      <w:bCs/>
      <w:sz w:val="28"/>
      <w:szCs w:val="28"/>
    </w:rPr>
  </w:style>
  <w:style w:type="character" w:customStyle="1" w:styleId="67">
    <w:name w:val="标题 5 字符"/>
    <w:basedOn w:val="41"/>
    <w:link w:val="8"/>
    <w:qFormat/>
    <w:uiPriority w:val="9"/>
    <w:rPr>
      <w:rFonts w:ascii="Times New Roman" w:hAnsi="Times New Roman"/>
      <w:b/>
      <w:sz w:val="28"/>
      <w:szCs w:val="20"/>
      <w:lang w:val="zh-CN" w:eastAsia="zh-CN"/>
    </w:rPr>
  </w:style>
  <w:style w:type="character" w:customStyle="1" w:styleId="68">
    <w:name w:val="标题 6 字符"/>
    <w:basedOn w:val="41"/>
    <w:link w:val="9"/>
    <w:qFormat/>
    <w:uiPriority w:val="0"/>
    <w:rPr>
      <w:rFonts w:ascii="Arial" w:hAnsi="Arial" w:eastAsia="黑体"/>
      <w:b/>
      <w:sz w:val="24"/>
      <w:szCs w:val="20"/>
      <w:lang w:val="zh-CN" w:eastAsia="zh-CN"/>
    </w:rPr>
  </w:style>
  <w:style w:type="character" w:customStyle="1" w:styleId="69">
    <w:name w:val="标题 7 字符"/>
    <w:basedOn w:val="41"/>
    <w:link w:val="10"/>
    <w:qFormat/>
    <w:uiPriority w:val="0"/>
    <w:rPr>
      <w:rFonts w:ascii="Times New Roman" w:hAnsi="Times New Roman"/>
      <w:b/>
      <w:sz w:val="24"/>
      <w:szCs w:val="20"/>
      <w:lang w:val="zh-CN" w:eastAsia="zh-CN"/>
    </w:rPr>
  </w:style>
  <w:style w:type="character" w:customStyle="1" w:styleId="70">
    <w:name w:val="标题 8 字符"/>
    <w:basedOn w:val="41"/>
    <w:link w:val="11"/>
    <w:qFormat/>
    <w:uiPriority w:val="0"/>
    <w:rPr>
      <w:rFonts w:ascii="Arial" w:hAnsi="Arial" w:eastAsia="黑体"/>
      <w:sz w:val="24"/>
      <w:szCs w:val="20"/>
      <w:lang w:val="zh-CN" w:eastAsia="zh-CN"/>
    </w:rPr>
  </w:style>
  <w:style w:type="character" w:customStyle="1" w:styleId="71">
    <w:name w:val="标题 9 字符"/>
    <w:basedOn w:val="41"/>
    <w:link w:val="12"/>
    <w:qFormat/>
    <w:uiPriority w:val="0"/>
    <w:rPr>
      <w:rFonts w:ascii="Arial" w:hAnsi="Arial" w:eastAsia="黑体"/>
      <w:szCs w:val="20"/>
      <w:lang w:val="zh-CN" w:eastAsia="zh-CN"/>
    </w:rPr>
  </w:style>
  <w:style w:type="character" w:customStyle="1" w:styleId="72">
    <w:name w:val="正文文本 字符"/>
    <w:basedOn w:val="41"/>
    <w:qFormat/>
    <w:uiPriority w:val="0"/>
  </w:style>
  <w:style w:type="character" w:customStyle="1" w:styleId="73">
    <w:name w:val="正文文本 字符1"/>
    <w:link w:val="2"/>
    <w:qFormat/>
    <w:uiPriority w:val="0"/>
    <w:rPr>
      <w:rFonts w:ascii="Times New Roman" w:hAnsi="Times New Roman"/>
      <w:kern w:val="0"/>
      <w:sz w:val="24"/>
      <w:szCs w:val="20"/>
    </w:rPr>
  </w:style>
  <w:style w:type="character" w:customStyle="1" w:styleId="74">
    <w:name w:val="正文文本 2 字符"/>
    <w:basedOn w:val="41"/>
    <w:link w:val="33"/>
    <w:qFormat/>
    <w:uiPriority w:val="0"/>
    <w:rPr>
      <w:rFonts w:ascii="Times New Roman" w:hAnsi="Times New Roman"/>
      <w:sz w:val="24"/>
      <w:szCs w:val="20"/>
    </w:rPr>
  </w:style>
  <w:style w:type="character" w:customStyle="1" w:styleId="75">
    <w:name w:val="正文文本缩进 字符"/>
    <w:basedOn w:val="41"/>
    <w:link w:val="18"/>
    <w:qFormat/>
    <w:uiPriority w:val="0"/>
    <w:rPr>
      <w:rFonts w:ascii="Times New Roman" w:hAnsi="Times New Roman"/>
      <w:szCs w:val="20"/>
    </w:rPr>
  </w:style>
  <w:style w:type="character" w:customStyle="1" w:styleId="76">
    <w:name w:val="正文文本缩进 2 字符"/>
    <w:basedOn w:val="41"/>
    <w:link w:val="23"/>
    <w:qFormat/>
    <w:uiPriority w:val="0"/>
    <w:rPr>
      <w:rFonts w:ascii="Times New Roman" w:hAnsi="Times New Roman"/>
      <w:szCs w:val="20"/>
    </w:rPr>
  </w:style>
  <w:style w:type="character" w:customStyle="1" w:styleId="77">
    <w:name w:val="正文文本缩进 3 字符"/>
    <w:basedOn w:val="41"/>
    <w:link w:val="31"/>
    <w:qFormat/>
    <w:uiPriority w:val="0"/>
    <w:rPr>
      <w:rFonts w:ascii="宋体" w:hAnsi="宋体"/>
      <w:szCs w:val="20"/>
    </w:rPr>
  </w:style>
  <w:style w:type="character" w:customStyle="1" w:styleId="78">
    <w:name w:val="纯文本 字符"/>
    <w:basedOn w:val="41"/>
    <w:qFormat/>
    <w:uiPriority w:val="0"/>
    <w:rPr>
      <w:rFonts w:hAnsi="Courier New" w:cs="Courier New" w:asciiTheme="minorEastAsia" w:eastAsiaTheme="minorEastAsia"/>
    </w:rPr>
  </w:style>
  <w:style w:type="character" w:customStyle="1" w:styleId="79">
    <w:name w:val="纯文本 字符1"/>
    <w:link w:val="21"/>
    <w:qFormat/>
    <w:uiPriority w:val="0"/>
    <w:rPr>
      <w:rFonts w:ascii="Courier New" w:hAnsi="Courier New"/>
      <w:kern w:val="0"/>
      <w:sz w:val="20"/>
      <w:szCs w:val="20"/>
    </w:rPr>
  </w:style>
  <w:style w:type="paragraph" w:customStyle="1" w:styleId="80">
    <w:name w:val="xl25"/>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b/>
      <w:bCs/>
      <w:kern w:val="0"/>
      <w:sz w:val="22"/>
      <w:lang w:eastAsia="en-US"/>
    </w:rPr>
  </w:style>
  <w:style w:type="character" w:customStyle="1" w:styleId="81">
    <w:name w:val="正文文本 3 字符"/>
    <w:basedOn w:val="41"/>
    <w:link w:val="17"/>
    <w:qFormat/>
    <w:uiPriority w:val="0"/>
    <w:rPr>
      <w:rFonts w:ascii="Times New Roman" w:hAnsi="Times New Roman"/>
      <w:sz w:val="16"/>
      <w:szCs w:val="16"/>
    </w:rPr>
  </w:style>
  <w:style w:type="paragraph" w:customStyle="1" w:styleId="82">
    <w:name w:val="xl26"/>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b/>
      <w:bCs/>
      <w:kern w:val="0"/>
      <w:sz w:val="22"/>
      <w:lang w:eastAsia="en-US"/>
    </w:rPr>
  </w:style>
  <w:style w:type="paragraph" w:customStyle="1" w:styleId="83">
    <w:name w:val="xl27"/>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b/>
      <w:bCs/>
      <w:kern w:val="0"/>
      <w:sz w:val="24"/>
      <w:szCs w:val="24"/>
      <w:lang w:eastAsia="en-US"/>
    </w:rPr>
  </w:style>
  <w:style w:type="paragraph" w:customStyle="1" w:styleId="84">
    <w:name w:val="xl28"/>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kern w:val="0"/>
      <w:sz w:val="20"/>
      <w:szCs w:val="20"/>
      <w:lang w:eastAsia="en-US"/>
    </w:rPr>
  </w:style>
  <w:style w:type="paragraph" w:customStyle="1" w:styleId="85">
    <w:name w:val="xl29"/>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kern w:val="0"/>
      <w:sz w:val="20"/>
      <w:szCs w:val="20"/>
      <w:lang w:eastAsia="en-US"/>
    </w:rPr>
  </w:style>
  <w:style w:type="paragraph" w:customStyle="1" w:styleId="86">
    <w:name w:val="xl30"/>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kern w:val="0"/>
      <w:sz w:val="24"/>
      <w:szCs w:val="24"/>
      <w:lang w:eastAsia="en-US"/>
    </w:rPr>
  </w:style>
  <w:style w:type="paragraph" w:customStyle="1" w:styleId="87">
    <w:name w:val="font5"/>
    <w:basedOn w:val="1"/>
    <w:qFormat/>
    <w:uiPriority w:val="0"/>
    <w:pPr>
      <w:widowControl/>
      <w:spacing w:before="100" w:beforeAutospacing="1" w:after="100" w:afterAutospacing="1"/>
      <w:jc w:val="left"/>
    </w:pPr>
    <w:rPr>
      <w:rFonts w:hint="eastAsia" w:ascii="宋体" w:hAnsi="宋体"/>
      <w:b/>
      <w:bCs/>
      <w:kern w:val="0"/>
      <w:sz w:val="22"/>
      <w:lang w:eastAsia="en-US"/>
    </w:rPr>
  </w:style>
  <w:style w:type="paragraph" w:customStyle="1" w:styleId="88">
    <w:name w:val="font6"/>
    <w:basedOn w:val="1"/>
    <w:qFormat/>
    <w:uiPriority w:val="0"/>
    <w:pPr>
      <w:widowControl/>
      <w:spacing w:before="100" w:beforeAutospacing="1" w:after="100" w:afterAutospacing="1"/>
      <w:jc w:val="left"/>
    </w:pPr>
    <w:rPr>
      <w:rFonts w:hint="eastAsia" w:ascii="宋体" w:hAnsi="宋体"/>
      <w:b/>
      <w:bCs/>
      <w:kern w:val="0"/>
      <w:sz w:val="24"/>
      <w:szCs w:val="24"/>
      <w:lang w:eastAsia="en-US"/>
    </w:rPr>
  </w:style>
  <w:style w:type="paragraph" w:customStyle="1" w:styleId="89">
    <w:name w:val="xl31"/>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2"/>
      <w:lang w:eastAsia="en-US"/>
    </w:rPr>
  </w:style>
  <w:style w:type="paragraph" w:customStyle="1" w:styleId="90">
    <w:name w:val="xl32"/>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b/>
      <w:bCs/>
      <w:kern w:val="0"/>
      <w:sz w:val="22"/>
      <w:lang w:eastAsia="en-US"/>
    </w:rPr>
  </w:style>
  <w:style w:type="paragraph" w:customStyle="1" w:styleId="91">
    <w:name w:val="xl33"/>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b/>
      <w:bCs/>
      <w:kern w:val="0"/>
      <w:sz w:val="22"/>
      <w:lang w:eastAsia="en-US"/>
    </w:rPr>
  </w:style>
  <w:style w:type="paragraph" w:customStyle="1" w:styleId="92">
    <w:name w:val="font7"/>
    <w:basedOn w:val="1"/>
    <w:qFormat/>
    <w:uiPriority w:val="0"/>
    <w:pPr>
      <w:widowControl/>
      <w:spacing w:before="100" w:beforeAutospacing="1" w:after="100" w:afterAutospacing="1"/>
      <w:jc w:val="left"/>
    </w:pPr>
    <w:rPr>
      <w:rFonts w:ascii="Times New Roman" w:hAnsi="Times New Roman"/>
      <w:b/>
      <w:bCs/>
      <w:kern w:val="0"/>
      <w:sz w:val="24"/>
      <w:szCs w:val="24"/>
      <w:lang w:eastAsia="en-US"/>
    </w:rPr>
  </w:style>
  <w:style w:type="paragraph" w:customStyle="1" w:styleId="93">
    <w:name w:val="xl3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b/>
      <w:bCs/>
      <w:kern w:val="0"/>
      <w:sz w:val="22"/>
      <w:lang w:eastAsia="en-US"/>
    </w:rPr>
  </w:style>
  <w:style w:type="paragraph" w:customStyle="1" w:styleId="94">
    <w:name w:val="xl35"/>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b/>
      <w:bCs/>
      <w:kern w:val="0"/>
      <w:sz w:val="22"/>
      <w:lang w:eastAsia="en-US"/>
    </w:rPr>
  </w:style>
  <w:style w:type="paragraph" w:customStyle="1" w:styleId="95">
    <w:name w:val="xl3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2"/>
      <w:lang w:eastAsia="en-US"/>
    </w:rPr>
  </w:style>
  <w:style w:type="paragraph" w:customStyle="1" w:styleId="96">
    <w:name w:val="xl37"/>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b/>
      <w:bCs/>
      <w:kern w:val="0"/>
      <w:sz w:val="22"/>
      <w:lang w:eastAsia="en-US"/>
    </w:rPr>
  </w:style>
  <w:style w:type="paragraph" w:customStyle="1" w:styleId="97">
    <w:name w:val="xl38"/>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b/>
      <w:bCs/>
      <w:kern w:val="0"/>
      <w:sz w:val="22"/>
      <w:lang w:eastAsia="en-US"/>
    </w:rPr>
  </w:style>
  <w:style w:type="paragraph" w:customStyle="1" w:styleId="98">
    <w:name w:val="xl39"/>
    <w:basedOn w:val="1"/>
    <w:qFormat/>
    <w:uiPriority w:val="0"/>
    <w:pPr>
      <w:widowControl/>
      <w:pBdr>
        <w:top w:val="single" w:color="auto" w:sz="4" w:space="0"/>
        <w:bottom w:val="single" w:color="auto" w:sz="4" w:space="0"/>
        <w:right w:val="single" w:color="000000" w:sz="8" w:space="0"/>
      </w:pBdr>
      <w:spacing w:before="100" w:beforeAutospacing="1" w:after="100" w:afterAutospacing="1"/>
      <w:jc w:val="center"/>
    </w:pPr>
    <w:rPr>
      <w:rFonts w:ascii="宋体" w:hAnsi="宋体"/>
      <w:b/>
      <w:bCs/>
      <w:kern w:val="0"/>
      <w:sz w:val="22"/>
      <w:lang w:eastAsia="en-US"/>
    </w:rPr>
  </w:style>
  <w:style w:type="paragraph" w:customStyle="1" w:styleId="99">
    <w:name w:val="xl40"/>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b/>
      <w:bCs/>
      <w:kern w:val="0"/>
      <w:sz w:val="24"/>
      <w:szCs w:val="24"/>
      <w:lang w:eastAsia="en-US"/>
    </w:rPr>
  </w:style>
  <w:style w:type="paragraph" w:customStyle="1" w:styleId="100">
    <w:name w:val="xl4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4"/>
      <w:szCs w:val="24"/>
      <w:lang w:eastAsia="en-US"/>
    </w:rPr>
  </w:style>
  <w:style w:type="paragraph" w:customStyle="1" w:styleId="101">
    <w:name w:val="1"/>
    <w:basedOn w:val="1"/>
    <w:next w:val="1"/>
    <w:link w:val="102"/>
    <w:unhideWhenUsed/>
    <w:qFormat/>
    <w:uiPriority w:val="39"/>
    <w:pPr>
      <w:ind w:left="420" w:leftChars="200"/>
      <w:jc w:val="left"/>
    </w:pPr>
    <w:rPr>
      <w:rFonts w:eastAsiaTheme="minorEastAsia" w:cstheme="minorBidi"/>
    </w:rPr>
  </w:style>
  <w:style w:type="character" w:customStyle="1" w:styleId="102">
    <w:name w:val="列出段落 字符"/>
    <w:link w:val="101"/>
    <w:qFormat/>
    <w:uiPriority w:val="39"/>
    <w:rPr>
      <w:rFonts w:eastAsiaTheme="minorEastAsia" w:cstheme="minorBidi"/>
    </w:rPr>
  </w:style>
  <w:style w:type="character" w:customStyle="1" w:styleId="103">
    <w:name w:val="页眉 Char"/>
    <w:qFormat/>
    <w:uiPriority w:val="0"/>
    <w:rPr>
      <w:rFonts w:eastAsia="宋体"/>
      <w:kern w:val="2"/>
      <w:sz w:val="18"/>
      <w:szCs w:val="18"/>
      <w:lang w:val="en-US" w:eastAsia="zh-CN" w:bidi="ar-SA"/>
    </w:rPr>
  </w:style>
  <w:style w:type="character" w:customStyle="1" w:styleId="104">
    <w:name w:val="页脚 Char"/>
    <w:qFormat/>
    <w:uiPriority w:val="0"/>
    <w:rPr>
      <w:rFonts w:eastAsia="宋体"/>
      <w:kern w:val="2"/>
      <w:sz w:val="18"/>
      <w:szCs w:val="18"/>
      <w:lang w:val="en-US" w:eastAsia="zh-CN" w:bidi="ar-SA"/>
    </w:rPr>
  </w:style>
  <w:style w:type="paragraph" w:customStyle="1" w:styleId="105">
    <w:name w:val="Char"/>
    <w:basedOn w:val="1"/>
    <w:link w:val="289"/>
    <w:qFormat/>
    <w:uiPriority w:val="0"/>
    <w:rPr>
      <w:rFonts w:ascii="Arial" w:hAnsi="Arial" w:cs="Arial"/>
      <w:sz w:val="20"/>
      <w:szCs w:val="20"/>
    </w:rPr>
  </w:style>
  <w:style w:type="paragraph" w:customStyle="1" w:styleId="106">
    <w:name w:val="缺省文本"/>
    <w:basedOn w:val="1"/>
    <w:qFormat/>
    <w:uiPriority w:val="0"/>
    <w:pPr>
      <w:autoSpaceDE w:val="0"/>
      <w:autoSpaceDN w:val="0"/>
      <w:adjustRightInd w:val="0"/>
      <w:jc w:val="left"/>
    </w:pPr>
    <w:rPr>
      <w:rFonts w:ascii="Times New Roman" w:hAnsi="Times New Roman"/>
      <w:kern w:val="0"/>
      <w:sz w:val="24"/>
      <w:szCs w:val="24"/>
    </w:rPr>
  </w:style>
  <w:style w:type="character" w:customStyle="1" w:styleId="107">
    <w:name w:val="脚注文本 字符"/>
    <w:basedOn w:val="41"/>
    <w:link w:val="29"/>
    <w:qFormat/>
    <w:uiPriority w:val="99"/>
    <w:rPr>
      <w:sz w:val="18"/>
      <w:szCs w:val="18"/>
    </w:rPr>
  </w:style>
  <w:style w:type="paragraph" w:customStyle="1" w:styleId="108">
    <w:name w:val="二级无"/>
    <w:basedOn w:val="109"/>
    <w:qFormat/>
    <w:uiPriority w:val="0"/>
    <w:pPr>
      <w:spacing w:before="0" w:beforeLines="0" w:after="0" w:afterLines="0"/>
    </w:pPr>
    <w:rPr>
      <w:rFonts w:ascii="宋体" w:eastAsia="宋体"/>
    </w:rPr>
  </w:style>
  <w:style w:type="paragraph" w:customStyle="1" w:styleId="109">
    <w:name w:val="二级条标题"/>
    <w:basedOn w:val="110"/>
    <w:next w:val="111"/>
    <w:link w:val="266"/>
    <w:qFormat/>
    <w:uiPriority w:val="0"/>
    <w:pPr>
      <w:numPr>
        <w:ilvl w:val="0"/>
        <w:numId w:val="0"/>
      </w:numPr>
      <w:spacing w:before="50" w:after="50"/>
      <w:outlineLvl w:val="3"/>
    </w:pPr>
  </w:style>
  <w:style w:type="paragraph" w:customStyle="1" w:styleId="110">
    <w:name w:val="一级条标题"/>
    <w:next w:val="111"/>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111">
    <w:name w:val="段"/>
    <w:link w:val="264"/>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12">
    <w:name w:val="字母编号列项（一级）"/>
    <w:qFormat/>
    <w:uiPriority w:val="0"/>
    <w:pPr>
      <w:numPr>
        <w:ilvl w:val="0"/>
        <w:numId w:val="2"/>
      </w:numPr>
      <w:jc w:val="both"/>
    </w:pPr>
    <w:rPr>
      <w:rFonts w:ascii="宋体" w:hAnsi="Times New Roman" w:eastAsia="宋体" w:cs="Times New Roman"/>
      <w:sz w:val="21"/>
      <w:lang w:val="en-US" w:eastAsia="zh-CN" w:bidi="ar-SA"/>
    </w:rPr>
  </w:style>
  <w:style w:type="character" w:customStyle="1" w:styleId="113">
    <w:name w:val="页眉 字符1"/>
    <w:qFormat/>
    <w:uiPriority w:val="99"/>
    <w:rPr>
      <w:rFonts w:ascii="Times New Roman" w:hAnsi="Times New Roman" w:eastAsia="宋体" w:cs="Times New Roman"/>
      <w:sz w:val="18"/>
      <w:szCs w:val="18"/>
    </w:rPr>
  </w:style>
  <w:style w:type="character" w:customStyle="1" w:styleId="114">
    <w:name w:val="页脚 字符1"/>
    <w:qFormat/>
    <w:uiPriority w:val="99"/>
    <w:rPr>
      <w:rFonts w:ascii="Times New Roman" w:hAnsi="Times New Roman" w:eastAsia="宋体" w:cs="Times New Roman"/>
      <w:sz w:val="18"/>
      <w:szCs w:val="18"/>
    </w:rPr>
  </w:style>
  <w:style w:type="table" w:customStyle="1" w:styleId="115">
    <w:name w:val="网格型1"/>
    <w:basedOn w:val="3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6">
    <w:name w:val="TOC 标题1"/>
    <w:basedOn w:val="3"/>
    <w:next w:val="1"/>
    <w:unhideWhenUsed/>
    <w:qFormat/>
    <w:uiPriority w:val="0"/>
    <w:pPr>
      <w:widowControl/>
      <w:spacing w:before="480" w:after="0" w:line="276" w:lineRule="auto"/>
      <w:jc w:val="left"/>
      <w:outlineLvl w:val="9"/>
    </w:pPr>
    <w:rPr>
      <w:rFonts w:ascii="Cambria" w:hAnsi="Cambria" w:eastAsia="宋体" w:cs="Times New Roman"/>
      <w:color w:val="365F91"/>
      <w:kern w:val="0"/>
      <w:sz w:val="28"/>
      <w:szCs w:val="28"/>
    </w:rPr>
  </w:style>
  <w:style w:type="character" w:customStyle="1" w:styleId="117">
    <w:name w:val="标题 1 字符2"/>
    <w:qFormat/>
    <w:uiPriority w:val="99"/>
    <w:rPr>
      <w:rFonts w:ascii="Times New Roman" w:hAnsi="Times New Roman" w:eastAsia="宋体" w:cs="Times New Roman"/>
      <w:b/>
      <w:kern w:val="44"/>
      <w:sz w:val="44"/>
      <w:szCs w:val="20"/>
    </w:rPr>
  </w:style>
  <w:style w:type="character" w:customStyle="1" w:styleId="118">
    <w:name w:val="badge25"/>
    <w:qFormat/>
    <w:uiPriority w:val="0"/>
    <w:rPr>
      <w:color w:val="909090"/>
      <w:sz w:val="18"/>
      <w:szCs w:val="18"/>
    </w:rPr>
  </w:style>
  <w:style w:type="character" w:customStyle="1" w:styleId="119">
    <w:name w:val="正文文本缩进 3 字符1"/>
    <w:qFormat/>
    <w:uiPriority w:val="0"/>
    <w:rPr>
      <w:rFonts w:ascii="宋体" w:hAnsi="宋体"/>
    </w:rPr>
  </w:style>
  <w:style w:type="character" w:customStyle="1" w:styleId="120">
    <w:name w:val="ma_app"/>
    <w:basedOn w:val="41"/>
    <w:qFormat/>
    <w:uiPriority w:val="0"/>
  </w:style>
  <w:style w:type="character" w:customStyle="1" w:styleId="121">
    <w:name w:val="页脚 Char1"/>
    <w:semiHidden/>
    <w:qFormat/>
    <w:uiPriority w:val="99"/>
    <w:rPr>
      <w:rFonts w:ascii="Times New Roman" w:hAnsi="Times New Roman" w:eastAsia="宋体" w:cs="Times New Roman"/>
      <w:sz w:val="18"/>
      <w:szCs w:val="18"/>
    </w:rPr>
  </w:style>
  <w:style w:type="character" w:customStyle="1" w:styleId="122">
    <w:name w:val="页眉 Char1"/>
    <w:semiHidden/>
    <w:qFormat/>
    <w:uiPriority w:val="99"/>
    <w:rPr>
      <w:rFonts w:ascii="Times New Roman" w:hAnsi="Times New Roman" w:eastAsia="宋体" w:cs="Times New Roman"/>
      <w:sz w:val="18"/>
      <w:szCs w:val="18"/>
    </w:rPr>
  </w:style>
  <w:style w:type="character" w:customStyle="1" w:styleId="123">
    <w:name w:val="正文文本 Char1"/>
    <w:semiHidden/>
    <w:qFormat/>
    <w:uiPriority w:val="99"/>
    <w:rPr>
      <w:rFonts w:ascii="Times New Roman" w:hAnsi="Times New Roman" w:eastAsia="宋体" w:cs="Times New Roman"/>
      <w:szCs w:val="20"/>
    </w:rPr>
  </w:style>
  <w:style w:type="character" w:customStyle="1" w:styleId="124">
    <w:name w:val="批注框文本 字符1"/>
    <w:semiHidden/>
    <w:qFormat/>
    <w:uiPriority w:val="99"/>
    <w:rPr>
      <w:sz w:val="18"/>
      <w:szCs w:val="18"/>
    </w:rPr>
  </w:style>
  <w:style w:type="character" w:customStyle="1" w:styleId="125">
    <w:name w:val="标题 3 字符1"/>
    <w:qFormat/>
    <w:uiPriority w:val="99"/>
    <w:rPr>
      <w:rFonts w:ascii="Times New Roman" w:hAnsi="Times New Roman" w:eastAsia="宋体" w:cs="Times New Roman"/>
      <w:kern w:val="0"/>
      <w:sz w:val="24"/>
      <w:szCs w:val="20"/>
      <w:lang w:val="zh-CN" w:eastAsia="zh-CN"/>
    </w:rPr>
  </w:style>
  <w:style w:type="character" w:customStyle="1" w:styleId="126">
    <w:name w:val="正文文本缩进 字符1"/>
    <w:qFormat/>
    <w:uiPriority w:val="0"/>
  </w:style>
  <w:style w:type="character" w:customStyle="1" w:styleId="127">
    <w:name w:val="edit"/>
    <w:basedOn w:val="41"/>
    <w:qFormat/>
    <w:uiPriority w:val="0"/>
  </w:style>
  <w:style w:type="character" w:customStyle="1" w:styleId="128">
    <w:name w:val="批注框文本 Char1"/>
    <w:semiHidden/>
    <w:qFormat/>
    <w:uiPriority w:val="99"/>
    <w:rPr>
      <w:rFonts w:ascii="Times New Roman" w:hAnsi="Times New Roman" w:eastAsia="宋体" w:cs="Times New Roman"/>
      <w:sz w:val="18"/>
      <w:szCs w:val="18"/>
    </w:rPr>
  </w:style>
  <w:style w:type="character" w:customStyle="1" w:styleId="129">
    <w:name w:val="正文文本缩进 2 Char1"/>
    <w:semiHidden/>
    <w:qFormat/>
    <w:uiPriority w:val="99"/>
    <w:rPr>
      <w:rFonts w:ascii="Times New Roman" w:hAnsi="Times New Roman" w:eastAsia="宋体" w:cs="Times New Roman"/>
      <w:szCs w:val="20"/>
    </w:rPr>
  </w:style>
  <w:style w:type="character" w:customStyle="1" w:styleId="130">
    <w:name w:val="badge24"/>
    <w:qFormat/>
    <w:uiPriority w:val="0"/>
    <w:rPr>
      <w:shd w:val="clear" w:color="auto" w:fill="FFFFFF"/>
    </w:rPr>
  </w:style>
  <w:style w:type="character" w:customStyle="1" w:styleId="131">
    <w:name w:val="正文文本 3 字符1"/>
    <w:qFormat/>
    <w:uiPriority w:val="0"/>
    <w:rPr>
      <w:rFonts w:ascii="宋体" w:hAnsi="宋体"/>
      <w:color w:val="000000"/>
    </w:rPr>
  </w:style>
  <w:style w:type="character" w:customStyle="1" w:styleId="132">
    <w:name w:val="文档结构图 字符"/>
    <w:link w:val="15"/>
    <w:qFormat/>
    <w:uiPriority w:val="0"/>
    <w:rPr>
      <w:shd w:val="clear" w:color="auto" w:fill="000080"/>
    </w:rPr>
  </w:style>
  <w:style w:type="character" w:customStyle="1" w:styleId="133">
    <w:name w:val="delete2"/>
    <w:basedOn w:val="41"/>
    <w:qFormat/>
    <w:uiPriority w:val="0"/>
  </w:style>
  <w:style w:type="character" w:customStyle="1" w:styleId="134">
    <w:name w:val="正文文本 2 字符1"/>
    <w:qFormat/>
    <w:uiPriority w:val="0"/>
    <w:rPr>
      <w:sz w:val="24"/>
    </w:rPr>
  </w:style>
  <w:style w:type="character" w:customStyle="1" w:styleId="135">
    <w:name w:val="标题 4 字符1"/>
    <w:link w:val="6"/>
    <w:qFormat/>
    <w:uiPriority w:val="0"/>
    <w:rPr>
      <w:rFonts w:ascii="Arial" w:hAnsi="Arial" w:eastAsia="黑体"/>
      <w:b/>
      <w:sz w:val="28"/>
      <w:szCs w:val="20"/>
      <w:lang w:val="zh-CN" w:eastAsia="zh-CN"/>
    </w:rPr>
  </w:style>
  <w:style w:type="character" w:customStyle="1" w:styleId="136">
    <w:name w:val="标题 2 字符1"/>
    <w:qFormat/>
    <w:uiPriority w:val="9"/>
    <w:rPr>
      <w:rFonts w:ascii="Arial" w:hAnsi="Arial" w:eastAsia="黑体"/>
      <w:b/>
      <w:kern w:val="2"/>
      <w:sz w:val="32"/>
    </w:rPr>
  </w:style>
  <w:style w:type="character" w:customStyle="1" w:styleId="137">
    <w:name w:val="badge22"/>
    <w:qFormat/>
    <w:uiPriority w:val="0"/>
    <w:rPr>
      <w:shd w:val="clear" w:color="auto" w:fill="FFFFFF"/>
    </w:rPr>
  </w:style>
  <w:style w:type="character" w:customStyle="1" w:styleId="138">
    <w:name w:val="日期 字符1"/>
    <w:qFormat/>
    <w:uiPriority w:val="0"/>
  </w:style>
  <w:style w:type="character" w:customStyle="1" w:styleId="139">
    <w:name w:val="样式 宋体"/>
    <w:qFormat/>
    <w:uiPriority w:val="0"/>
    <w:rPr>
      <w:rFonts w:ascii="宋体" w:hAnsi="宋体"/>
      <w:sz w:val="21"/>
    </w:rPr>
  </w:style>
  <w:style w:type="character" w:customStyle="1" w:styleId="140">
    <w:name w:val="edit4"/>
    <w:basedOn w:val="41"/>
    <w:qFormat/>
    <w:uiPriority w:val="0"/>
  </w:style>
  <w:style w:type="character" w:customStyle="1" w:styleId="141">
    <w:name w:val="badge27"/>
    <w:qFormat/>
    <w:uiPriority w:val="0"/>
    <w:rPr>
      <w:color w:val="128BED"/>
    </w:rPr>
  </w:style>
  <w:style w:type="character" w:customStyle="1" w:styleId="142">
    <w:name w:val="badge28"/>
    <w:qFormat/>
    <w:uiPriority w:val="0"/>
    <w:rPr>
      <w:color w:val="128BED"/>
    </w:rPr>
  </w:style>
  <w:style w:type="character" w:customStyle="1" w:styleId="143">
    <w:name w:val="badge26"/>
    <w:qFormat/>
    <w:uiPriority w:val="0"/>
    <w:rPr>
      <w:color w:val="128BED"/>
    </w:rPr>
  </w:style>
  <w:style w:type="character" w:customStyle="1" w:styleId="144">
    <w:name w:val="ma_wx"/>
    <w:basedOn w:val="41"/>
    <w:qFormat/>
    <w:uiPriority w:val="0"/>
  </w:style>
  <w:style w:type="character" w:customStyle="1" w:styleId="145">
    <w:name w:val="标题 1 字符1"/>
    <w:qFormat/>
    <w:uiPriority w:val="0"/>
    <w:rPr>
      <w:b/>
      <w:kern w:val="44"/>
      <w:sz w:val="44"/>
    </w:rPr>
  </w:style>
  <w:style w:type="character" w:customStyle="1" w:styleId="146">
    <w:name w:val="批注文字 字符1"/>
    <w:semiHidden/>
    <w:qFormat/>
    <w:uiPriority w:val="0"/>
    <w:rPr>
      <w:kern w:val="2"/>
      <w:sz w:val="21"/>
    </w:rPr>
  </w:style>
  <w:style w:type="character" w:customStyle="1" w:styleId="147">
    <w:name w:val="delete"/>
    <w:basedOn w:val="41"/>
    <w:qFormat/>
    <w:uiPriority w:val="0"/>
  </w:style>
  <w:style w:type="character" w:customStyle="1" w:styleId="148">
    <w:name w:val="after"/>
    <w:qFormat/>
    <w:uiPriority w:val="0"/>
    <w:rPr>
      <w:shd w:val="clear" w:color="auto" w:fill="FFFFFF"/>
    </w:rPr>
  </w:style>
  <w:style w:type="character" w:customStyle="1" w:styleId="149">
    <w:name w:val="badge23"/>
    <w:qFormat/>
    <w:uiPriority w:val="0"/>
    <w:rPr>
      <w:color w:val="909090"/>
      <w:sz w:val="18"/>
      <w:szCs w:val="18"/>
    </w:rPr>
  </w:style>
  <w:style w:type="character" w:customStyle="1" w:styleId="150">
    <w:name w:val="正文文本缩进 2 字符1"/>
    <w:qFormat/>
    <w:uiPriority w:val="99"/>
  </w:style>
  <w:style w:type="character" w:customStyle="1" w:styleId="151">
    <w:name w:val="font111"/>
    <w:qFormat/>
    <w:uiPriority w:val="0"/>
    <w:rPr>
      <w:rFonts w:hint="eastAsia" w:ascii="宋体" w:hAnsi="宋体" w:eastAsia="宋体" w:cs="宋体"/>
      <w:color w:val="000000"/>
      <w:sz w:val="20"/>
      <w:szCs w:val="20"/>
      <w:u w:val="none"/>
    </w:rPr>
  </w:style>
  <w:style w:type="character" w:customStyle="1" w:styleId="152">
    <w:name w:val="font31"/>
    <w:qFormat/>
    <w:uiPriority w:val="0"/>
    <w:rPr>
      <w:rFonts w:hint="eastAsia" w:ascii="宋体" w:hAnsi="宋体" w:eastAsia="宋体" w:cs="宋体"/>
      <w:color w:val="000000"/>
      <w:sz w:val="22"/>
      <w:szCs w:val="22"/>
      <w:u w:val="none"/>
    </w:rPr>
  </w:style>
  <w:style w:type="character" w:customStyle="1" w:styleId="153">
    <w:name w:val="批注文字 字符2"/>
    <w:basedOn w:val="41"/>
    <w:semiHidden/>
    <w:qFormat/>
    <w:uiPriority w:val="99"/>
    <w:rPr>
      <w:rFonts w:ascii="Times New Roman" w:hAnsi="Times New Roman" w:eastAsia="宋体" w:cs="Times New Roman"/>
      <w:szCs w:val="20"/>
    </w:rPr>
  </w:style>
  <w:style w:type="character" w:customStyle="1" w:styleId="154">
    <w:name w:val="批注主题 字符1"/>
    <w:basedOn w:val="153"/>
    <w:qFormat/>
    <w:uiPriority w:val="0"/>
    <w:rPr>
      <w:rFonts w:ascii="Times New Roman" w:hAnsi="Times New Roman" w:eastAsia="宋体" w:cs="Times New Roman"/>
      <w:b/>
      <w:bCs/>
      <w:szCs w:val="20"/>
    </w:rPr>
  </w:style>
  <w:style w:type="character" w:customStyle="1" w:styleId="155">
    <w:name w:val="正文文本缩进 3 字符2"/>
    <w:basedOn w:val="41"/>
    <w:semiHidden/>
    <w:qFormat/>
    <w:uiPriority w:val="99"/>
    <w:rPr>
      <w:rFonts w:ascii="Times New Roman" w:hAnsi="Times New Roman" w:eastAsia="宋体" w:cs="Times New Roman"/>
      <w:sz w:val="16"/>
      <w:szCs w:val="16"/>
    </w:rPr>
  </w:style>
  <w:style w:type="character" w:customStyle="1" w:styleId="156">
    <w:name w:val="文档结构图 字符1"/>
    <w:basedOn w:val="41"/>
    <w:semiHidden/>
    <w:qFormat/>
    <w:uiPriority w:val="99"/>
    <w:rPr>
      <w:rFonts w:ascii="Microsoft YaHei UI" w:eastAsia="Microsoft YaHei UI"/>
      <w:sz w:val="18"/>
      <w:szCs w:val="18"/>
    </w:rPr>
  </w:style>
  <w:style w:type="character" w:customStyle="1" w:styleId="157">
    <w:name w:val="批注框文本 字符2"/>
    <w:basedOn w:val="41"/>
    <w:semiHidden/>
    <w:qFormat/>
    <w:uiPriority w:val="99"/>
    <w:rPr>
      <w:rFonts w:ascii="Times New Roman" w:hAnsi="Times New Roman" w:eastAsia="宋体" w:cs="Times New Roman"/>
      <w:sz w:val="18"/>
      <w:szCs w:val="18"/>
    </w:rPr>
  </w:style>
  <w:style w:type="character" w:customStyle="1" w:styleId="158">
    <w:name w:val="日期 字符2"/>
    <w:basedOn w:val="41"/>
    <w:semiHidden/>
    <w:qFormat/>
    <w:uiPriority w:val="99"/>
    <w:rPr>
      <w:rFonts w:ascii="Times New Roman" w:hAnsi="Times New Roman" w:eastAsia="宋体" w:cs="Times New Roman"/>
      <w:szCs w:val="20"/>
    </w:rPr>
  </w:style>
  <w:style w:type="character" w:customStyle="1" w:styleId="159">
    <w:name w:val="正文文本 字符2"/>
    <w:basedOn w:val="41"/>
    <w:semiHidden/>
    <w:qFormat/>
    <w:uiPriority w:val="99"/>
    <w:rPr>
      <w:rFonts w:ascii="Times New Roman" w:hAnsi="Times New Roman" w:eastAsia="宋体" w:cs="Times New Roman"/>
      <w:szCs w:val="20"/>
    </w:rPr>
  </w:style>
  <w:style w:type="character" w:customStyle="1" w:styleId="160">
    <w:name w:val="纯文本 字符2"/>
    <w:basedOn w:val="41"/>
    <w:semiHidden/>
    <w:uiPriority w:val="99"/>
    <w:rPr>
      <w:rFonts w:hAnsi="Courier New" w:cs="Courier New" w:asciiTheme="minorEastAsia"/>
      <w:szCs w:val="20"/>
    </w:rPr>
  </w:style>
  <w:style w:type="character" w:customStyle="1" w:styleId="161">
    <w:name w:val="正文文本 2 字符2"/>
    <w:basedOn w:val="41"/>
    <w:semiHidden/>
    <w:qFormat/>
    <w:uiPriority w:val="99"/>
    <w:rPr>
      <w:rFonts w:ascii="Times New Roman" w:hAnsi="Times New Roman" w:eastAsia="宋体" w:cs="Times New Roman"/>
      <w:szCs w:val="20"/>
    </w:rPr>
  </w:style>
  <w:style w:type="character" w:customStyle="1" w:styleId="162">
    <w:name w:val="正文文本缩进 2 字符2"/>
    <w:basedOn w:val="41"/>
    <w:semiHidden/>
    <w:qFormat/>
    <w:uiPriority w:val="99"/>
    <w:rPr>
      <w:rFonts w:ascii="Times New Roman" w:hAnsi="Times New Roman" w:eastAsia="宋体" w:cs="Times New Roman"/>
      <w:szCs w:val="20"/>
    </w:rPr>
  </w:style>
  <w:style w:type="character" w:customStyle="1" w:styleId="163">
    <w:name w:val="正文文本缩进 字符2"/>
    <w:basedOn w:val="41"/>
    <w:semiHidden/>
    <w:qFormat/>
    <w:uiPriority w:val="99"/>
    <w:rPr>
      <w:rFonts w:ascii="Times New Roman" w:hAnsi="Times New Roman" w:eastAsia="宋体" w:cs="Times New Roman"/>
      <w:szCs w:val="20"/>
    </w:rPr>
  </w:style>
  <w:style w:type="character" w:customStyle="1" w:styleId="164">
    <w:name w:val="正文文本 3 字符2"/>
    <w:basedOn w:val="41"/>
    <w:semiHidden/>
    <w:qFormat/>
    <w:uiPriority w:val="99"/>
    <w:rPr>
      <w:rFonts w:ascii="Times New Roman" w:hAnsi="Times New Roman" w:eastAsia="宋体" w:cs="Times New Roman"/>
      <w:sz w:val="16"/>
      <w:szCs w:val="16"/>
    </w:rPr>
  </w:style>
  <w:style w:type="paragraph" w:customStyle="1" w:styleId="165">
    <w:name w:val="xl61"/>
    <w:basedOn w:val="1"/>
    <w:qFormat/>
    <w:uiPriority w:val="0"/>
    <w:pPr>
      <w:widowControl/>
      <w:pBdr>
        <w:top w:val="single" w:color="auto" w:sz="4" w:space="0"/>
        <w:left w:val="single" w:color="auto" w:sz="8" w:space="0"/>
        <w:bottom w:val="single" w:color="auto" w:sz="8" w:space="0"/>
        <w:right w:val="single" w:color="auto" w:sz="8" w:space="0"/>
      </w:pBdr>
      <w:spacing w:before="100" w:beforeAutospacing="1" w:after="100" w:afterAutospacing="1"/>
      <w:jc w:val="right"/>
    </w:pPr>
    <w:rPr>
      <w:rFonts w:ascii="宋体" w:hAnsi="宋体"/>
      <w:kern w:val="0"/>
      <w:sz w:val="24"/>
      <w:szCs w:val="24"/>
    </w:rPr>
  </w:style>
  <w:style w:type="paragraph" w:customStyle="1" w:styleId="166">
    <w:name w:val="xl51"/>
    <w:basedOn w:val="1"/>
    <w:qFormat/>
    <w:uiPriority w:val="0"/>
    <w:pPr>
      <w:widowControl/>
      <w:pBdr>
        <w:top w:val="single" w:color="auto" w:sz="8" w:space="0"/>
        <w:right w:val="single" w:color="auto" w:sz="8" w:space="0"/>
      </w:pBdr>
      <w:spacing w:before="100" w:beforeAutospacing="1" w:after="100" w:afterAutospacing="1"/>
      <w:jc w:val="left"/>
    </w:pPr>
    <w:rPr>
      <w:rFonts w:ascii="宋体" w:hAnsi="宋体"/>
      <w:kern w:val="0"/>
      <w:sz w:val="24"/>
      <w:szCs w:val="24"/>
    </w:rPr>
  </w:style>
  <w:style w:type="paragraph" w:customStyle="1" w:styleId="167">
    <w:name w:val="xl64"/>
    <w:basedOn w:val="1"/>
    <w:qFormat/>
    <w:uiPriority w:val="0"/>
    <w:pPr>
      <w:widowControl/>
      <w:pBdr>
        <w:top w:val="single" w:color="auto" w:sz="8" w:space="0"/>
        <w:left w:val="single" w:color="auto" w:sz="8" w:space="0"/>
      </w:pBdr>
      <w:spacing w:before="100" w:beforeAutospacing="1" w:after="100" w:afterAutospacing="1"/>
      <w:jc w:val="center"/>
    </w:pPr>
    <w:rPr>
      <w:rFonts w:ascii="宋体" w:hAnsi="宋体"/>
      <w:kern w:val="0"/>
      <w:sz w:val="24"/>
      <w:szCs w:val="24"/>
    </w:rPr>
  </w:style>
  <w:style w:type="paragraph" w:customStyle="1" w:styleId="168">
    <w:name w:val="xl73"/>
    <w:basedOn w:val="1"/>
    <w:qFormat/>
    <w:uiPriority w:val="0"/>
    <w:pPr>
      <w:widowControl/>
      <w:pBdr>
        <w:top w:val="single" w:color="auto" w:sz="8" w:space="0"/>
        <w:left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69">
    <w:name w:val="xl58"/>
    <w:basedOn w:val="1"/>
    <w:qFormat/>
    <w:uiPriority w:val="0"/>
    <w:pPr>
      <w:widowControl/>
      <w:pBdr>
        <w:top w:val="single" w:color="auto" w:sz="4" w:space="0"/>
        <w:left w:val="single" w:color="auto" w:sz="8" w:space="0"/>
        <w:bottom w:val="single" w:color="auto" w:sz="4" w:space="0"/>
        <w:right w:val="single" w:color="auto" w:sz="8" w:space="0"/>
      </w:pBdr>
      <w:spacing w:before="100" w:beforeAutospacing="1" w:after="100" w:afterAutospacing="1"/>
      <w:jc w:val="right"/>
    </w:pPr>
    <w:rPr>
      <w:rFonts w:ascii="宋体" w:hAnsi="宋体"/>
      <w:kern w:val="0"/>
      <w:sz w:val="24"/>
      <w:szCs w:val="24"/>
    </w:rPr>
  </w:style>
  <w:style w:type="paragraph" w:customStyle="1" w:styleId="170">
    <w:name w:val="xl87"/>
    <w:basedOn w:val="1"/>
    <w:qFormat/>
    <w:uiPriority w:val="0"/>
    <w:pPr>
      <w:widowControl/>
      <w:pBdr>
        <w:top w:val="single" w:color="auto" w:sz="8" w:space="0"/>
        <w:left w:val="single" w:color="auto" w:sz="8" w:space="0"/>
        <w:right w:val="single" w:color="auto" w:sz="8" w:space="0"/>
      </w:pBdr>
      <w:shd w:val="clear" w:color="auto" w:fill="CCFFCC"/>
      <w:spacing w:before="100" w:beforeAutospacing="1" w:after="100" w:afterAutospacing="1"/>
      <w:jc w:val="center"/>
    </w:pPr>
    <w:rPr>
      <w:rFonts w:ascii="Times New Roman" w:hAnsi="Times New Roman" w:eastAsia="Arial Unicode MS"/>
      <w:kern w:val="0"/>
      <w:sz w:val="24"/>
      <w:szCs w:val="24"/>
    </w:rPr>
  </w:style>
  <w:style w:type="paragraph" w:customStyle="1" w:styleId="171">
    <w:name w:val="引言 1"/>
    <w:next w:val="172"/>
    <w:qFormat/>
    <w:uiPriority w:val="0"/>
    <w:pPr>
      <w:numPr>
        <w:ilvl w:val="1"/>
        <w:numId w:val="3"/>
      </w:numPr>
      <w:spacing w:line="310" w:lineRule="exact"/>
    </w:pPr>
    <w:rPr>
      <w:rFonts w:ascii="Times New Roman" w:hAnsi="Times New Roman" w:eastAsia="黑体" w:cs="Times New Roman"/>
      <w:sz w:val="21"/>
      <w:lang w:val="en-US" w:eastAsia="zh-CN" w:bidi="ar-SA"/>
    </w:rPr>
  </w:style>
  <w:style w:type="paragraph" w:customStyle="1" w:styleId="172">
    <w:name w:val="段落"/>
    <w:qFormat/>
    <w:uiPriority w:val="0"/>
    <w:pPr>
      <w:spacing w:line="310" w:lineRule="exact"/>
      <w:ind w:firstLine="200" w:firstLineChars="200"/>
    </w:pPr>
    <w:rPr>
      <w:rFonts w:ascii="Times New Roman" w:hAnsi="Times New Roman" w:eastAsia="宋体" w:cs="Times New Roman"/>
      <w:sz w:val="21"/>
      <w:lang w:val="en-US" w:eastAsia="zh-CN" w:bidi="ar-SA"/>
    </w:rPr>
  </w:style>
  <w:style w:type="paragraph" w:customStyle="1" w:styleId="173">
    <w:name w:val="font1"/>
    <w:basedOn w:val="1"/>
    <w:qFormat/>
    <w:uiPriority w:val="0"/>
    <w:pPr>
      <w:widowControl/>
      <w:spacing w:before="100" w:beforeAutospacing="1" w:after="100" w:afterAutospacing="1"/>
      <w:jc w:val="left"/>
    </w:pPr>
    <w:rPr>
      <w:rFonts w:hint="eastAsia" w:ascii="宋体" w:hAnsi="宋体" w:cs="Arial Unicode MS"/>
      <w:kern w:val="0"/>
      <w:sz w:val="24"/>
      <w:szCs w:val="24"/>
    </w:rPr>
  </w:style>
  <w:style w:type="paragraph" w:customStyle="1" w:styleId="174">
    <w:name w:val="xl75"/>
    <w:basedOn w:val="1"/>
    <w:qFormat/>
    <w:uiPriority w:val="0"/>
    <w:pPr>
      <w:widowControl/>
      <w:pBdr>
        <w:top w:val="single" w:color="auto" w:sz="8"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75">
    <w:name w:val="xl53"/>
    <w:basedOn w:val="1"/>
    <w:uiPriority w:val="0"/>
    <w:pPr>
      <w:widowControl/>
      <w:pBdr>
        <w:bottom w:val="single" w:color="auto" w:sz="8" w:space="0"/>
        <w:right w:val="single" w:color="auto" w:sz="8" w:space="0"/>
      </w:pBdr>
      <w:spacing w:before="100" w:beforeAutospacing="1" w:after="100" w:afterAutospacing="1"/>
      <w:jc w:val="left"/>
    </w:pPr>
    <w:rPr>
      <w:rFonts w:ascii="宋体" w:hAnsi="宋体"/>
      <w:kern w:val="0"/>
      <w:sz w:val="24"/>
      <w:szCs w:val="24"/>
    </w:rPr>
  </w:style>
  <w:style w:type="paragraph" w:customStyle="1" w:styleId="176">
    <w:name w:val="xl62"/>
    <w:basedOn w:val="1"/>
    <w:qFormat/>
    <w:uiPriority w:val="0"/>
    <w:pPr>
      <w:widowControl/>
      <w:pBdr>
        <w:left w:val="single" w:color="auto" w:sz="8" w:space="0"/>
      </w:pBdr>
      <w:spacing w:before="100" w:beforeAutospacing="1" w:after="100" w:afterAutospacing="1"/>
      <w:jc w:val="center"/>
    </w:pPr>
    <w:rPr>
      <w:rFonts w:ascii="宋体" w:hAnsi="宋体"/>
      <w:kern w:val="0"/>
      <w:sz w:val="24"/>
      <w:szCs w:val="24"/>
    </w:rPr>
  </w:style>
  <w:style w:type="paragraph" w:customStyle="1" w:styleId="177">
    <w:name w:val="xl88"/>
    <w:basedOn w:val="1"/>
    <w:qFormat/>
    <w:uiPriority w:val="0"/>
    <w:pPr>
      <w:widowControl/>
      <w:pBdr>
        <w:top w:val="single" w:color="auto" w:sz="8" w:space="0"/>
        <w:right w:val="single" w:color="auto" w:sz="8" w:space="0"/>
      </w:pBdr>
      <w:shd w:val="clear" w:color="auto" w:fill="CCFFCC"/>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178">
    <w:name w:val="xl23"/>
    <w:basedOn w:val="1"/>
    <w:qFormat/>
    <w:uiPriority w:val="0"/>
    <w:pPr>
      <w:widowControl/>
      <w:spacing w:before="100" w:beforeAutospacing="1" w:after="100" w:afterAutospacing="1"/>
      <w:jc w:val="left"/>
      <w:textAlignment w:val="center"/>
    </w:pPr>
    <w:rPr>
      <w:rFonts w:ascii="宋体" w:hAnsi="宋体"/>
      <w:kern w:val="0"/>
      <w:sz w:val="24"/>
      <w:szCs w:val="24"/>
    </w:rPr>
  </w:style>
  <w:style w:type="paragraph" w:customStyle="1" w:styleId="179">
    <w:name w:val="xl49"/>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pPr>
    <w:rPr>
      <w:rFonts w:hint="eastAsia" w:ascii="宋体" w:hAnsi="宋体"/>
      <w:kern w:val="0"/>
      <w:sz w:val="24"/>
      <w:szCs w:val="24"/>
    </w:rPr>
  </w:style>
  <w:style w:type="paragraph" w:customStyle="1" w:styleId="180">
    <w:name w:val="xl86"/>
    <w:basedOn w:val="1"/>
    <w:qFormat/>
    <w:uiPriority w:val="0"/>
    <w:pPr>
      <w:widowControl/>
      <w:pBdr>
        <w:top w:val="single" w:color="auto" w:sz="4" w:space="0"/>
        <w:left w:val="single" w:color="auto" w:sz="8" w:space="0"/>
        <w:bottom w:val="single" w:color="auto" w:sz="8" w:space="0"/>
        <w:right w:val="single" w:color="auto" w:sz="8" w:space="0"/>
      </w:pBdr>
      <w:shd w:val="clear" w:color="auto" w:fill="CCFFFF"/>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181">
    <w:name w:val="引言 表"/>
    <w:next w:val="1"/>
    <w:uiPriority w:val="0"/>
    <w:pPr>
      <w:numPr>
        <w:ilvl w:val="6"/>
        <w:numId w:val="3"/>
      </w:numPr>
      <w:jc w:val="center"/>
    </w:pPr>
    <w:rPr>
      <w:rFonts w:ascii="Times New Roman" w:hAnsi="Times New Roman" w:eastAsia="黑体" w:cs="Times New Roman"/>
      <w:lang w:val="en-US" w:eastAsia="zh-CN" w:bidi="ar-SA"/>
    </w:rPr>
  </w:style>
  <w:style w:type="paragraph" w:customStyle="1" w:styleId="182">
    <w:name w:val="xl77"/>
    <w:basedOn w:val="1"/>
    <w:qFormat/>
    <w:uiPriority w:val="0"/>
    <w:pPr>
      <w:widowControl/>
      <w:pBdr>
        <w:top w:val="single" w:color="auto" w:sz="4"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83">
    <w:name w:val="xl65"/>
    <w:basedOn w:val="1"/>
    <w:qFormat/>
    <w:uiPriority w:val="0"/>
    <w:pPr>
      <w:widowControl/>
      <w:pBdr>
        <w:left w:val="single" w:color="auto" w:sz="8" w:space="0"/>
        <w:bottom w:val="single" w:color="auto" w:sz="8" w:space="0"/>
      </w:pBdr>
      <w:spacing w:before="100" w:beforeAutospacing="1" w:after="100" w:afterAutospacing="1"/>
      <w:jc w:val="center"/>
    </w:pPr>
    <w:rPr>
      <w:rFonts w:ascii="宋体" w:hAnsi="宋体"/>
      <w:kern w:val="0"/>
      <w:sz w:val="24"/>
      <w:szCs w:val="24"/>
    </w:rPr>
  </w:style>
  <w:style w:type="paragraph" w:customStyle="1" w:styleId="184">
    <w:name w:val="Char Char1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185">
    <w:name w:val="Char Char"/>
    <w:next w:val="1"/>
    <w:qFormat/>
    <w:uiPriority w:val="0"/>
    <w:pPr>
      <w:keepNext/>
      <w:keepLines/>
      <w:spacing w:before="240" w:after="240"/>
      <w:ind w:left="624" w:hanging="624"/>
      <w:outlineLvl w:val="7"/>
    </w:pPr>
    <w:rPr>
      <w:rFonts w:ascii="Arial" w:hAnsi="Arial" w:eastAsia="黑体" w:cs="Arial"/>
      <w:snapToGrid w:val="0"/>
      <w:sz w:val="21"/>
      <w:szCs w:val="21"/>
      <w:lang w:val="en-US" w:eastAsia="zh-CN" w:bidi="ar-SA"/>
    </w:rPr>
  </w:style>
  <w:style w:type="paragraph" w:customStyle="1" w:styleId="186">
    <w:name w:val="xl69"/>
    <w:basedOn w:val="1"/>
    <w:qFormat/>
    <w:uiPriority w:val="0"/>
    <w:pPr>
      <w:widowControl/>
      <w:pBdr>
        <w:top w:val="single" w:color="auto" w:sz="4"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187">
    <w:name w:val="font9"/>
    <w:basedOn w:val="1"/>
    <w:qFormat/>
    <w:uiPriority w:val="0"/>
    <w:pPr>
      <w:widowControl/>
      <w:spacing w:before="100" w:beforeAutospacing="1" w:after="100" w:afterAutospacing="1"/>
      <w:jc w:val="left"/>
    </w:pPr>
    <w:rPr>
      <w:rFonts w:ascii="Times New Roman" w:hAnsi="Times New Roman"/>
      <w:kern w:val="0"/>
      <w:sz w:val="20"/>
      <w:szCs w:val="20"/>
    </w:rPr>
  </w:style>
  <w:style w:type="paragraph" w:customStyle="1" w:styleId="188">
    <w:name w:val="xl60"/>
    <w:basedOn w:val="1"/>
    <w:qFormat/>
    <w:uiPriority w:val="0"/>
    <w:pPr>
      <w:widowControl/>
      <w:pBdr>
        <w:left w:val="single" w:color="auto" w:sz="8" w:space="0"/>
        <w:bottom w:val="single" w:color="auto" w:sz="8" w:space="0"/>
        <w:right w:val="single" w:color="auto" w:sz="8" w:space="0"/>
      </w:pBdr>
      <w:spacing w:before="100" w:beforeAutospacing="1" w:after="100" w:afterAutospacing="1"/>
      <w:jc w:val="right"/>
    </w:pPr>
    <w:rPr>
      <w:rFonts w:ascii="宋体" w:hAnsi="宋体"/>
      <w:kern w:val="0"/>
      <w:sz w:val="24"/>
      <w:szCs w:val="24"/>
    </w:rPr>
  </w:style>
  <w:style w:type="paragraph" w:customStyle="1" w:styleId="189">
    <w:name w:val="条文 表"/>
    <w:next w:val="172"/>
    <w:qFormat/>
    <w:uiPriority w:val="0"/>
    <w:pPr>
      <w:numPr>
        <w:ilvl w:val="6"/>
        <w:numId w:val="4"/>
      </w:numPr>
      <w:jc w:val="center"/>
    </w:pPr>
    <w:rPr>
      <w:rFonts w:ascii="Times New Roman" w:hAnsi="Times New Roman" w:eastAsia="黑体" w:cs="Times New Roman"/>
      <w:sz w:val="21"/>
      <w:lang w:val="en-US" w:eastAsia="zh-CN" w:bidi="ar-SA"/>
    </w:rPr>
  </w:style>
  <w:style w:type="paragraph" w:customStyle="1" w:styleId="190">
    <w:name w:val="xl43"/>
    <w:basedOn w:val="1"/>
    <w:uiPriority w:val="0"/>
    <w:pPr>
      <w:widowControl/>
      <w:pBdr>
        <w:top w:val="single" w:color="auto" w:sz="8" w:space="0"/>
        <w:left w:val="single" w:color="auto" w:sz="8" w:space="0"/>
        <w:bottom w:val="single" w:color="auto" w:sz="4" w:space="0"/>
        <w:right w:val="single" w:color="auto" w:sz="8" w:space="0"/>
      </w:pBdr>
      <w:spacing w:before="100" w:beforeAutospacing="1" w:after="100" w:afterAutospacing="1"/>
      <w:jc w:val="center"/>
    </w:pPr>
    <w:rPr>
      <w:rFonts w:ascii="宋体" w:hAnsi="宋体"/>
      <w:kern w:val="0"/>
      <w:sz w:val="24"/>
      <w:szCs w:val="24"/>
    </w:rPr>
  </w:style>
  <w:style w:type="paragraph" w:customStyle="1" w:styleId="191">
    <w:name w:val="Char Char1 Char Char Char Char Char Char Char Char Char Char 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192">
    <w:name w:val="xl92"/>
    <w:basedOn w:val="1"/>
    <w:qFormat/>
    <w:uiPriority w:val="0"/>
    <w:pPr>
      <w:widowControl/>
      <w:pBdr>
        <w:top w:val="single" w:color="auto" w:sz="4" w:space="0"/>
        <w:bottom w:val="single" w:color="auto" w:sz="8" w:space="0"/>
        <w:right w:val="single" w:color="auto" w:sz="8" w:space="0"/>
      </w:pBdr>
      <w:shd w:val="clear" w:color="auto" w:fill="CCFFCC"/>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193">
    <w:name w:val="xl80"/>
    <w:basedOn w:val="1"/>
    <w:qFormat/>
    <w:uiPriority w:val="0"/>
    <w:pPr>
      <w:widowControl/>
      <w:pBdr>
        <w:top w:val="single" w:color="auto" w:sz="4" w:space="0"/>
        <w:bottom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94">
    <w:name w:val="xl67"/>
    <w:basedOn w:val="1"/>
    <w:qFormat/>
    <w:uiPriority w:val="0"/>
    <w:pPr>
      <w:widowControl/>
      <w:pBdr>
        <w:top w:val="single" w:color="auto" w:sz="8"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195">
    <w:name w:val="Default Text"/>
    <w:basedOn w:val="1"/>
    <w:uiPriority w:val="0"/>
    <w:pPr>
      <w:widowControl/>
      <w:jc w:val="left"/>
    </w:pPr>
    <w:rPr>
      <w:rFonts w:ascii="Times New Roman" w:hAnsi="Times New Roman"/>
      <w:snapToGrid w:val="0"/>
      <w:kern w:val="0"/>
      <w:sz w:val="24"/>
      <w:szCs w:val="20"/>
      <w:lang w:eastAsia="en-US"/>
    </w:rPr>
  </w:style>
  <w:style w:type="paragraph" w:customStyle="1" w:styleId="196">
    <w:name w:val="xl50"/>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hint="eastAsia" w:ascii="宋体" w:hAnsi="宋体"/>
      <w:kern w:val="0"/>
      <w:sz w:val="24"/>
      <w:szCs w:val="24"/>
    </w:rPr>
  </w:style>
  <w:style w:type="paragraph" w:customStyle="1" w:styleId="197">
    <w:name w:val="Char1"/>
    <w:basedOn w:val="1"/>
    <w:qFormat/>
    <w:uiPriority w:val="0"/>
    <w:rPr>
      <w:rFonts w:ascii="Times New Roman" w:hAnsi="Times New Roman"/>
      <w:szCs w:val="24"/>
    </w:rPr>
  </w:style>
  <w:style w:type="paragraph" w:customStyle="1" w:styleId="198">
    <w:name w:val="条文 4"/>
    <w:next w:val="172"/>
    <w:qFormat/>
    <w:uiPriority w:val="0"/>
    <w:pPr>
      <w:spacing w:line="310" w:lineRule="exact"/>
    </w:pPr>
    <w:rPr>
      <w:rFonts w:ascii="Times New Roman" w:hAnsi="Times New Roman" w:eastAsia="黑体" w:cs="Times New Roman"/>
      <w:sz w:val="21"/>
      <w:lang w:val="en-US" w:eastAsia="zh-CN" w:bidi="ar-SA"/>
    </w:rPr>
  </w:style>
  <w:style w:type="paragraph" w:customStyle="1" w:styleId="199">
    <w:name w:val="Blockquote"/>
    <w:basedOn w:val="1"/>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200">
    <w:name w:val="条文 3"/>
    <w:next w:val="172"/>
    <w:qFormat/>
    <w:uiPriority w:val="0"/>
    <w:pPr>
      <w:numPr>
        <w:ilvl w:val="3"/>
        <w:numId w:val="4"/>
      </w:numPr>
      <w:spacing w:line="310" w:lineRule="exact"/>
    </w:pPr>
    <w:rPr>
      <w:rFonts w:ascii="Times New Roman" w:hAnsi="Times New Roman" w:eastAsia="黑体" w:cs="Times New Roman"/>
      <w:sz w:val="21"/>
      <w:lang w:val="en-US" w:eastAsia="zh-CN" w:bidi="ar-SA"/>
    </w:rPr>
  </w:style>
  <w:style w:type="paragraph" w:customStyle="1" w:styleId="201">
    <w:name w:val="条文 5"/>
    <w:next w:val="172"/>
    <w:qFormat/>
    <w:uiPriority w:val="0"/>
    <w:pPr>
      <w:numPr>
        <w:ilvl w:val="5"/>
        <w:numId w:val="4"/>
      </w:numPr>
      <w:spacing w:line="310" w:lineRule="exact"/>
    </w:pPr>
    <w:rPr>
      <w:rFonts w:ascii="Times New Roman" w:hAnsi="Times New Roman" w:eastAsia="黑体" w:cs="Times New Roman"/>
      <w:sz w:val="21"/>
      <w:lang w:val="en-US" w:eastAsia="zh-CN" w:bidi="ar-SA"/>
    </w:rPr>
  </w:style>
  <w:style w:type="paragraph" w:customStyle="1" w:styleId="202">
    <w:name w:val="xl79"/>
    <w:basedOn w:val="1"/>
    <w:qFormat/>
    <w:uiPriority w:val="0"/>
    <w:pPr>
      <w:widowControl/>
      <w:pBdr>
        <w:top w:val="single" w:color="auto" w:sz="4" w:space="0"/>
        <w:left w:val="single" w:color="auto" w:sz="8" w:space="0"/>
        <w:bottom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203">
    <w:name w:val="xl68"/>
    <w:basedOn w:val="1"/>
    <w:qFormat/>
    <w:uiPriority w:val="0"/>
    <w:pPr>
      <w:widowControl/>
      <w:pBdr>
        <w:top w:val="single" w:color="auto" w:sz="8" w:space="0"/>
        <w:bottom w:val="single" w:color="auto" w:sz="4"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204">
    <w:name w:val="xl71"/>
    <w:basedOn w:val="1"/>
    <w:qFormat/>
    <w:uiPriority w:val="0"/>
    <w:pPr>
      <w:widowControl/>
      <w:pBdr>
        <w:top w:val="single" w:color="auto" w:sz="4" w:space="0"/>
        <w:left w:val="single" w:color="auto" w:sz="8" w:space="0"/>
        <w:bottom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205">
    <w:name w:val="前言、引言标题"/>
    <w:next w:val="172"/>
    <w:qFormat/>
    <w:uiPriority w:val="0"/>
    <w:pPr>
      <w:numPr>
        <w:ilvl w:val="0"/>
        <w:numId w:val="5"/>
      </w:numPr>
      <w:shd w:val="clear" w:color="FFFFFF" w:fill="FFFFFF"/>
      <w:spacing w:before="600" w:after="600"/>
      <w:jc w:val="center"/>
    </w:pPr>
    <w:rPr>
      <w:rFonts w:ascii="黑体" w:hAnsi="Times New Roman" w:eastAsia="黑体" w:cs="Times New Roman"/>
      <w:sz w:val="32"/>
      <w:lang w:val="en-US" w:eastAsia="zh-CN" w:bidi="ar-SA"/>
    </w:rPr>
  </w:style>
  <w:style w:type="paragraph" w:customStyle="1" w:styleId="206">
    <w:name w:val="font0"/>
    <w:basedOn w:val="1"/>
    <w:qFormat/>
    <w:uiPriority w:val="0"/>
    <w:pPr>
      <w:widowControl/>
      <w:spacing w:before="100" w:beforeAutospacing="1" w:after="100" w:afterAutospacing="1"/>
      <w:jc w:val="left"/>
    </w:pPr>
    <w:rPr>
      <w:rFonts w:ascii="Arial" w:hAnsi="Arial" w:cs="Arial"/>
      <w:kern w:val="0"/>
      <w:sz w:val="20"/>
      <w:szCs w:val="20"/>
    </w:rPr>
  </w:style>
  <w:style w:type="paragraph" w:customStyle="1" w:styleId="207">
    <w:name w:val="xl66"/>
    <w:basedOn w:val="1"/>
    <w:qFormat/>
    <w:uiPriority w:val="0"/>
    <w:pPr>
      <w:widowControl/>
      <w:pBdr>
        <w:top w:val="single" w:color="auto" w:sz="8" w:space="0"/>
        <w:bottom w:val="single" w:color="auto" w:sz="4" w:space="0"/>
      </w:pBdr>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208">
    <w:name w:val="font8"/>
    <w:basedOn w:val="1"/>
    <w:qFormat/>
    <w:uiPriority w:val="0"/>
    <w:pPr>
      <w:widowControl/>
      <w:spacing w:before="100" w:beforeAutospacing="1" w:after="100" w:afterAutospacing="1"/>
      <w:jc w:val="left"/>
    </w:pPr>
    <w:rPr>
      <w:rFonts w:ascii="Arial" w:hAnsi="Arial" w:cs="Arial"/>
      <w:kern w:val="0"/>
      <w:sz w:val="20"/>
      <w:szCs w:val="20"/>
    </w:rPr>
  </w:style>
  <w:style w:type="paragraph" w:customStyle="1" w:styleId="209">
    <w:name w:val="xl55"/>
    <w:basedOn w:val="1"/>
    <w:uiPriority w:val="0"/>
    <w:pPr>
      <w:widowControl/>
      <w:pBdr>
        <w:right w:val="single" w:color="auto" w:sz="8" w:space="0"/>
      </w:pBdr>
      <w:spacing w:before="100" w:beforeAutospacing="1" w:after="100" w:afterAutospacing="1"/>
      <w:jc w:val="left"/>
    </w:pPr>
    <w:rPr>
      <w:rFonts w:ascii="宋体" w:hAnsi="宋体"/>
      <w:kern w:val="0"/>
      <w:sz w:val="24"/>
      <w:szCs w:val="24"/>
    </w:rPr>
  </w:style>
  <w:style w:type="paragraph" w:customStyle="1" w:styleId="210">
    <w:name w:val="引言 4"/>
    <w:next w:val="172"/>
    <w:qFormat/>
    <w:uiPriority w:val="0"/>
    <w:pPr>
      <w:numPr>
        <w:ilvl w:val="4"/>
        <w:numId w:val="3"/>
      </w:numPr>
      <w:tabs>
        <w:tab w:val="right" w:pos="8820"/>
      </w:tabs>
      <w:spacing w:line="310" w:lineRule="exact"/>
    </w:pPr>
    <w:rPr>
      <w:rFonts w:ascii="Times New Roman" w:hAnsi="Times New Roman" w:eastAsia="黑体" w:cs="Times New Roman"/>
      <w:sz w:val="21"/>
      <w:lang w:val="en-US" w:eastAsia="zh-CN" w:bidi="ar-SA"/>
    </w:rPr>
  </w:style>
  <w:style w:type="paragraph" w:customStyle="1" w:styleId="211">
    <w:name w:val="注×："/>
    <w:next w:val="172"/>
    <w:qFormat/>
    <w:uiPriority w:val="0"/>
    <w:pPr>
      <w:widowControl w:val="0"/>
      <w:numPr>
        <w:ilvl w:val="0"/>
        <w:numId w:val="6"/>
      </w:numPr>
      <w:tabs>
        <w:tab w:val="left" w:pos="630"/>
      </w:tabs>
      <w:autoSpaceDE w:val="0"/>
      <w:autoSpaceDN w:val="0"/>
      <w:jc w:val="both"/>
    </w:pPr>
    <w:rPr>
      <w:rFonts w:ascii="宋体" w:hAnsi="Times New Roman" w:eastAsia="宋体" w:cs="Times New Roman"/>
      <w:sz w:val="18"/>
      <w:lang w:val="en-US" w:eastAsia="zh-CN" w:bidi="ar-SA"/>
    </w:rPr>
  </w:style>
  <w:style w:type="paragraph" w:customStyle="1" w:styleId="212">
    <w:name w:val="xl93"/>
    <w:basedOn w:val="1"/>
    <w:qFormat/>
    <w:uiPriority w:val="0"/>
    <w:pPr>
      <w:widowControl/>
      <w:pBdr>
        <w:left w:val="single" w:color="auto" w:sz="8" w:space="0"/>
        <w:right w:val="single" w:color="auto" w:sz="8" w:space="0"/>
      </w:pBdr>
      <w:spacing w:before="100" w:beforeAutospacing="1" w:after="100" w:afterAutospacing="1"/>
      <w:jc w:val="center"/>
    </w:pPr>
    <w:rPr>
      <w:rFonts w:ascii="Times New Roman" w:hAnsi="Times New Roman" w:eastAsia="Arial Unicode MS"/>
      <w:kern w:val="0"/>
      <w:sz w:val="24"/>
      <w:szCs w:val="24"/>
    </w:rPr>
  </w:style>
  <w:style w:type="paragraph" w:customStyle="1" w:styleId="213">
    <w:name w:val="xl44"/>
    <w:basedOn w:val="1"/>
    <w:uiPriority w:val="0"/>
    <w:pPr>
      <w:widowControl/>
      <w:pBdr>
        <w:top w:val="single" w:color="auto" w:sz="4" w:space="0"/>
        <w:left w:val="single" w:color="auto" w:sz="8" w:space="0"/>
        <w:bottom w:val="single" w:color="auto" w:sz="4" w:space="0"/>
        <w:right w:val="single" w:color="auto" w:sz="8" w:space="0"/>
      </w:pBdr>
      <w:spacing w:before="100" w:beforeAutospacing="1" w:after="100" w:afterAutospacing="1"/>
      <w:jc w:val="center"/>
    </w:pPr>
    <w:rPr>
      <w:rFonts w:ascii="宋体" w:hAnsi="宋体"/>
      <w:kern w:val="0"/>
      <w:sz w:val="24"/>
      <w:szCs w:val="24"/>
    </w:rPr>
  </w:style>
  <w:style w:type="paragraph" w:customStyle="1" w:styleId="214">
    <w:name w:val="Char11"/>
    <w:basedOn w:val="1"/>
    <w:qFormat/>
    <w:uiPriority w:val="0"/>
    <w:rPr>
      <w:rFonts w:ascii="Times New Roman" w:hAnsi="Times New Roman"/>
      <w:szCs w:val="24"/>
    </w:rPr>
  </w:style>
  <w:style w:type="paragraph" w:customStyle="1" w:styleId="215">
    <w:name w:val="xl89"/>
    <w:basedOn w:val="1"/>
    <w:qFormat/>
    <w:uiPriority w:val="0"/>
    <w:pPr>
      <w:widowControl/>
      <w:pBdr>
        <w:left w:val="single" w:color="auto" w:sz="8" w:space="0"/>
        <w:right w:val="single" w:color="auto" w:sz="8" w:space="0"/>
      </w:pBdr>
      <w:shd w:val="clear" w:color="auto" w:fill="CCFFCC"/>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216">
    <w:name w:val="Char Char1"/>
    <w:next w:val="1"/>
    <w:uiPriority w:val="0"/>
    <w:pPr>
      <w:keepNext/>
      <w:keepLines/>
      <w:spacing w:before="240" w:after="240"/>
      <w:ind w:left="624" w:hanging="624"/>
      <w:outlineLvl w:val="7"/>
    </w:pPr>
    <w:rPr>
      <w:rFonts w:ascii="Arial" w:hAnsi="Arial" w:eastAsia="黑体" w:cs="Arial"/>
      <w:snapToGrid w:val="0"/>
      <w:sz w:val="21"/>
      <w:szCs w:val="21"/>
      <w:lang w:val="en-US" w:eastAsia="zh-CN" w:bidi="ar-SA"/>
    </w:rPr>
  </w:style>
  <w:style w:type="paragraph" w:customStyle="1" w:styleId="217">
    <w:name w:val="列项——"/>
    <w:next w:val="172"/>
    <w:qFormat/>
    <w:uiPriority w:val="0"/>
    <w:pPr>
      <w:widowControl w:val="0"/>
      <w:numPr>
        <w:ilvl w:val="0"/>
        <w:numId w:val="7"/>
      </w:numPr>
      <w:jc w:val="both"/>
    </w:pPr>
    <w:rPr>
      <w:rFonts w:ascii="Times New Roman" w:hAnsi="Times New Roman" w:eastAsia="宋体" w:cs="Times New Roman"/>
      <w:sz w:val="21"/>
      <w:lang w:val="en-US" w:eastAsia="zh-CN" w:bidi="ar-SA"/>
    </w:rPr>
  </w:style>
  <w:style w:type="paragraph" w:customStyle="1" w:styleId="218">
    <w:name w:val="条文 1"/>
    <w:next w:val="172"/>
    <w:qFormat/>
    <w:uiPriority w:val="0"/>
    <w:pPr>
      <w:numPr>
        <w:ilvl w:val="1"/>
        <w:numId w:val="4"/>
      </w:numPr>
      <w:spacing w:line="310" w:lineRule="exact"/>
    </w:pPr>
    <w:rPr>
      <w:rFonts w:ascii="Times New Roman" w:hAnsi="Times New Roman" w:eastAsia="黑体" w:cs="Times New Roman"/>
      <w:sz w:val="21"/>
      <w:lang w:val="en-US" w:eastAsia="zh-CN" w:bidi="ar-SA"/>
    </w:rPr>
  </w:style>
  <w:style w:type="paragraph" w:customStyle="1" w:styleId="219">
    <w:name w:val="xl84"/>
    <w:basedOn w:val="1"/>
    <w:uiPriority w:val="0"/>
    <w:pPr>
      <w:widowControl/>
      <w:pBdr>
        <w:top w:val="single" w:color="auto" w:sz="8"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220">
    <w:name w:val="xl42"/>
    <w:basedOn w:val="1"/>
    <w:uiPriority w:val="0"/>
    <w:pPr>
      <w:widowControl/>
      <w:pBdr>
        <w:top w:val="single" w:color="auto" w:sz="4" w:space="0"/>
        <w:bottom w:val="single" w:color="auto" w:sz="8" w:space="0"/>
      </w:pBdr>
      <w:spacing w:before="100" w:beforeAutospacing="1" w:after="100" w:afterAutospacing="1"/>
      <w:jc w:val="center"/>
    </w:pPr>
    <w:rPr>
      <w:rFonts w:ascii="宋体" w:hAnsi="宋体"/>
      <w:kern w:val="0"/>
      <w:sz w:val="24"/>
      <w:szCs w:val="24"/>
    </w:rPr>
  </w:style>
  <w:style w:type="paragraph" w:customStyle="1" w:styleId="221">
    <w:name w:val="目次、标准名称标题"/>
    <w:next w:val="172"/>
    <w:qFormat/>
    <w:uiPriority w:val="0"/>
    <w:pPr>
      <w:shd w:val="clear" w:color="FFFFFF" w:fill="FFFFFF"/>
      <w:spacing w:before="600" w:after="600" w:line="460" w:lineRule="exact"/>
      <w:jc w:val="center"/>
    </w:pPr>
    <w:rPr>
      <w:rFonts w:ascii="黑体" w:hAnsi="Times New Roman" w:eastAsia="黑体" w:cs="Times New Roman"/>
      <w:sz w:val="32"/>
      <w:lang w:val="en-US" w:eastAsia="zh-CN" w:bidi="ar-SA"/>
    </w:rPr>
  </w:style>
  <w:style w:type="paragraph" w:customStyle="1" w:styleId="222">
    <w:name w:val="引言 3"/>
    <w:next w:val="172"/>
    <w:qFormat/>
    <w:uiPriority w:val="0"/>
    <w:pPr>
      <w:numPr>
        <w:ilvl w:val="3"/>
        <w:numId w:val="3"/>
      </w:numPr>
      <w:spacing w:line="310" w:lineRule="exact"/>
    </w:pPr>
    <w:rPr>
      <w:rFonts w:ascii="Times New Roman" w:hAnsi="Times New Roman" w:eastAsia="黑体" w:cs="Times New Roman"/>
      <w:sz w:val="21"/>
      <w:lang w:val="en-US" w:eastAsia="zh-CN" w:bidi="ar-SA"/>
    </w:rPr>
  </w:style>
  <w:style w:type="paragraph" w:customStyle="1" w:styleId="223">
    <w:name w:val="xl72"/>
    <w:basedOn w:val="1"/>
    <w:qFormat/>
    <w:uiPriority w:val="0"/>
    <w:pPr>
      <w:widowControl/>
      <w:pBdr>
        <w:top w:val="single" w:color="auto" w:sz="4" w:space="0"/>
        <w:bottom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224">
    <w:name w:val="xl81"/>
    <w:basedOn w:val="1"/>
    <w:uiPriority w:val="0"/>
    <w:pPr>
      <w:widowControl/>
      <w:pBdr>
        <w:top w:val="single" w:color="auto" w:sz="8" w:space="0"/>
        <w:left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225">
    <w:name w:val="xl46"/>
    <w:basedOn w:val="1"/>
    <w:qFormat/>
    <w:uiPriority w:val="0"/>
    <w:pPr>
      <w:widowControl/>
      <w:pBdr>
        <w:top w:val="single" w:color="auto" w:sz="4" w:space="0"/>
        <w:left w:val="single" w:color="auto" w:sz="8" w:space="0"/>
        <w:bottom w:val="single" w:color="auto" w:sz="8" w:space="0"/>
        <w:right w:val="single" w:color="auto" w:sz="8" w:space="0"/>
      </w:pBdr>
      <w:spacing w:before="100" w:beforeAutospacing="1" w:after="100" w:afterAutospacing="1"/>
      <w:jc w:val="center"/>
    </w:pPr>
    <w:rPr>
      <w:rFonts w:ascii="宋体" w:hAnsi="宋体"/>
      <w:kern w:val="0"/>
      <w:sz w:val="24"/>
      <w:szCs w:val="24"/>
    </w:rPr>
  </w:style>
  <w:style w:type="paragraph" w:customStyle="1" w:styleId="226">
    <w:name w:val="xl94"/>
    <w:basedOn w:val="1"/>
    <w:uiPriority w:val="0"/>
    <w:pPr>
      <w:widowControl/>
      <w:pBdr>
        <w:top w:val="single" w:color="auto" w:sz="8" w:space="0"/>
        <w:left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227">
    <w:name w:val="xl95"/>
    <w:basedOn w:val="1"/>
    <w:qFormat/>
    <w:uiPriority w:val="0"/>
    <w:pPr>
      <w:widowControl/>
      <w:pBdr>
        <w:left w:val="single" w:color="auto" w:sz="8" w:space="0"/>
        <w:bottom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228">
    <w:name w:val="条文 2"/>
    <w:next w:val="172"/>
    <w:uiPriority w:val="0"/>
    <w:pPr>
      <w:numPr>
        <w:ilvl w:val="2"/>
        <w:numId w:val="4"/>
      </w:numPr>
      <w:spacing w:line="310" w:lineRule="exact"/>
    </w:pPr>
    <w:rPr>
      <w:rFonts w:ascii="Times New Roman" w:hAnsi="Times New Roman" w:eastAsia="黑体" w:cs="Times New Roman"/>
      <w:sz w:val="21"/>
      <w:lang w:val="en-US" w:eastAsia="zh-CN" w:bidi="ar-SA"/>
    </w:rPr>
  </w:style>
  <w:style w:type="paragraph" w:customStyle="1" w:styleId="229">
    <w:name w:val="xl70"/>
    <w:basedOn w:val="1"/>
    <w:uiPriority w:val="0"/>
    <w:pPr>
      <w:widowControl/>
      <w:pBdr>
        <w:top w:val="single" w:color="auto" w:sz="4" w:space="0"/>
        <w:bottom w:val="single" w:color="auto" w:sz="4"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230">
    <w:name w:val="xl78"/>
    <w:basedOn w:val="1"/>
    <w:qFormat/>
    <w:uiPriority w:val="0"/>
    <w:pPr>
      <w:widowControl/>
      <w:pBdr>
        <w:top w:val="single" w:color="auto" w:sz="4" w:space="0"/>
        <w:bottom w:val="single" w:color="auto" w:sz="4"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231">
    <w:name w:val="引言 5"/>
    <w:next w:val="172"/>
    <w:uiPriority w:val="0"/>
    <w:pPr>
      <w:numPr>
        <w:ilvl w:val="5"/>
        <w:numId w:val="3"/>
      </w:numPr>
      <w:tabs>
        <w:tab w:val="right" w:pos="8820"/>
      </w:tabs>
      <w:spacing w:line="310" w:lineRule="exact"/>
    </w:pPr>
    <w:rPr>
      <w:rFonts w:ascii="Times New Roman" w:hAnsi="Times New Roman" w:eastAsia="黑体" w:cs="Times New Roman"/>
      <w:sz w:val="21"/>
      <w:lang w:val="en-US" w:eastAsia="zh-CN" w:bidi="ar-SA"/>
    </w:rPr>
  </w:style>
  <w:style w:type="paragraph" w:customStyle="1" w:styleId="232">
    <w:name w:val="xl85"/>
    <w:basedOn w:val="1"/>
    <w:uiPriority w:val="0"/>
    <w:pPr>
      <w:widowControl/>
      <w:pBdr>
        <w:top w:val="single" w:color="auto" w:sz="4"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233">
    <w:name w:val="条文 0"/>
    <w:next w:val="172"/>
    <w:uiPriority w:val="0"/>
    <w:pPr>
      <w:spacing w:before="240" w:after="240"/>
    </w:pPr>
    <w:rPr>
      <w:rFonts w:ascii="Times New Roman" w:hAnsi="Times New Roman" w:eastAsia="黑体" w:cs="Times New Roman"/>
      <w:sz w:val="21"/>
      <w:lang w:val="en-US" w:eastAsia="zh-CN" w:bidi="ar-SA"/>
    </w:rPr>
  </w:style>
  <w:style w:type="paragraph" w:customStyle="1" w:styleId="234">
    <w:name w:val="条文 图"/>
    <w:next w:val="172"/>
    <w:qFormat/>
    <w:uiPriority w:val="0"/>
    <w:pPr>
      <w:numPr>
        <w:ilvl w:val="7"/>
        <w:numId w:val="4"/>
      </w:numPr>
      <w:jc w:val="center"/>
    </w:pPr>
    <w:rPr>
      <w:rFonts w:ascii="Times New Roman" w:hAnsi="Times New Roman" w:eastAsia="黑体" w:cs="Times New Roman"/>
      <w:sz w:val="21"/>
      <w:lang w:val="en-US" w:eastAsia="zh-CN" w:bidi="ar-SA"/>
    </w:rPr>
  </w:style>
  <w:style w:type="paragraph" w:customStyle="1" w:styleId="235">
    <w:name w:val="xl59"/>
    <w:basedOn w:val="1"/>
    <w:uiPriority w:val="0"/>
    <w:pPr>
      <w:widowControl/>
      <w:pBdr>
        <w:top w:val="single" w:color="auto" w:sz="8" w:space="0"/>
        <w:left w:val="single" w:color="auto" w:sz="8" w:space="0"/>
        <w:right w:val="single" w:color="auto" w:sz="8" w:space="0"/>
      </w:pBdr>
      <w:spacing w:before="100" w:beforeAutospacing="1" w:after="100" w:afterAutospacing="1"/>
      <w:jc w:val="right"/>
    </w:pPr>
    <w:rPr>
      <w:rFonts w:ascii="宋体" w:hAnsi="宋体"/>
      <w:kern w:val="0"/>
      <w:sz w:val="24"/>
      <w:szCs w:val="24"/>
    </w:rPr>
  </w:style>
  <w:style w:type="paragraph" w:customStyle="1" w:styleId="236">
    <w:name w:val="引言 图"/>
    <w:next w:val="172"/>
    <w:qFormat/>
    <w:uiPriority w:val="0"/>
    <w:pPr>
      <w:numPr>
        <w:ilvl w:val="7"/>
        <w:numId w:val="3"/>
      </w:numPr>
      <w:jc w:val="center"/>
    </w:pPr>
    <w:rPr>
      <w:rFonts w:ascii="Times New Roman" w:hAnsi="Times New Roman" w:eastAsia="黑体" w:cs="Times New Roman"/>
      <w:lang w:val="en-US" w:eastAsia="zh-CN" w:bidi="ar-SA"/>
    </w:rPr>
  </w:style>
  <w:style w:type="paragraph" w:customStyle="1" w:styleId="237">
    <w:name w:val="xl54"/>
    <w:basedOn w:val="1"/>
    <w:qFormat/>
    <w:uiPriority w:val="0"/>
    <w:pPr>
      <w:widowControl/>
      <w:pBdr>
        <w:top w:val="single" w:color="auto" w:sz="8" w:space="0"/>
        <w:right w:val="single" w:color="auto" w:sz="8" w:space="0"/>
      </w:pBdr>
      <w:spacing w:before="100" w:beforeAutospacing="1" w:after="100" w:afterAutospacing="1"/>
      <w:jc w:val="left"/>
    </w:pPr>
    <w:rPr>
      <w:rFonts w:ascii="宋体" w:hAnsi="宋体"/>
      <w:kern w:val="0"/>
      <w:sz w:val="24"/>
      <w:szCs w:val="24"/>
    </w:rPr>
  </w:style>
  <w:style w:type="paragraph" w:customStyle="1" w:styleId="238">
    <w:name w:val="xl90"/>
    <w:basedOn w:val="1"/>
    <w:qFormat/>
    <w:uiPriority w:val="0"/>
    <w:pPr>
      <w:widowControl/>
      <w:pBdr>
        <w:top w:val="single" w:color="auto" w:sz="4" w:space="0"/>
        <w:bottom w:val="single" w:color="auto" w:sz="4" w:space="0"/>
        <w:right w:val="single" w:color="auto" w:sz="8" w:space="0"/>
      </w:pBdr>
      <w:shd w:val="clear" w:color="auto" w:fill="CCFFCC"/>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239">
    <w:name w:val="xl63"/>
    <w:basedOn w:val="1"/>
    <w:qFormat/>
    <w:uiPriority w:val="0"/>
    <w:pPr>
      <w:widowControl/>
      <w:pBdr>
        <w:left w:val="single" w:color="auto" w:sz="8" w:space="0"/>
      </w:pBdr>
      <w:spacing w:before="100" w:beforeAutospacing="1" w:after="100" w:afterAutospacing="1"/>
      <w:jc w:val="center"/>
    </w:pPr>
    <w:rPr>
      <w:rFonts w:hint="eastAsia" w:ascii="宋体" w:hAnsi="宋体"/>
      <w:kern w:val="0"/>
      <w:sz w:val="24"/>
      <w:szCs w:val="24"/>
    </w:rPr>
  </w:style>
  <w:style w:type="paragraph" w:customStyle="1" w:styleId="240">
    <w:name w:val="xl52"/>
    <w:basedOn w:val="1"/>
    <w:qFormat/>
    <w:uiPriority w:val="0"/>
    <w:pPr>
      <w:widowControl/>
      <w:pBdr>
        <w:right w:val="single" w:color="auto" w:sz="8" w:space="0"/>
      </w:pBdr>
      <w:spacing w:before="100" w:beforeAutospacing="1" w:after="100" w:afterAutospacing="1"/>
      <w:jc w:val="left"/>
    </w:pPr>
    <w:rPr>
      <w:rFonts w:ascii="宋体" w:hAnsi="宋体"/>
      <w:kern w:val="0"/>
      <w:sz w:val="24"/>
      <w:szCs w:val="24"/>
    </w:rPr>
  </w:style>
  <w:style w:type="paragraph" w:customStyle="1" w:styleId="241">
    <w:name w:val="xl48"/>
    <w:basedOn w:val="1"/>
    <w:uiPriority w:val="0"/>
    <w:pPr>
      <w:widowControl/>
      <w:pBdr>
        <w:top w:val="single" w:color="auto" w:sz="8" w:space="0"/>
        <w:right w:val="single" w:color="auto" w:sz="4" w:space="0"/>
      </w:pBdr>
      <w:spacing w:before="100" w:beforeAutospacing="1" w:after="100" w:afterAutospacing="1"/>
      <w:jc w:val="center"/>
    </w:pPr>
    <w:rPr>
      <w:rFonts w:hint="eastAsia" w:ascii="宋体" w:hAnsi="宋体"/>
      <w:kern w:val="0"/>
      <w:sz w:val="24"/>
      <w:szCs w:val="24"/>
    </w:rPr>
  </w:style>
  <w:style w:type="paragraph" w:customStyle="1" w:styleId="242">
    <w:name w:val="xl57"/>
    <w:basedOn w:val="1"/>
    <w:qFormat/>
    <w:uiPriority w:val="0"/>
    <w:pPr>
      <w:widowControl/>
      <w:pBdr>
        <w:left w:val="single" w:color="auto" w:sz="8" w:space="0"/>
        <w:right w:val="single" w:color="auto" w:sz="8" w:space="0"/>
      </w:pBdr>
      <w:spacing w:before="100" w:beforeAutospacing="1" w:after="100" w:afterAutospacing="1"/>
      <w:jc w:val="right"/>
    </w:pPr>
    <w:rPr>
      <w:rFonts w:ascii="宋体" w:hAnsi="宋体"/>
      <w:kern w:val="0"/>
      <w:sz w:val="24"/>
      <w:szCs w:val="24"/>
    </w:rPr>
  </w:style>
  <w:style w:type="paragraph" w:customStyle="1" w:styleId="243">
    <w:name w:val="xl74"/>
    <w:basedOn w:val="1"/>
    <w:qFormat/>
    <w:uiPriority w:val="0"/>
    <w:pPr>
      <w:widowControl/>
      <w:pBdr>
        <w:left w:val="single" w:color="auto" w:sz="8" w:space="0"/>
        <w:bottom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244">
    <w:name w:val="注："/>
    <w:next w:val="172"/>
    <w:qFormat/>
    <w:uiPriority w:val="0"/>
    <w:pPr>
      <w:widowControl w:val="0"/>
      <w:numPr>
        <w:ilvl w:val="0"/>
        <w:numId w:val="8"/>
      </w:numPr>
      <w:autoSpaceDE w:val="0"/>
      <w:autoSpaceDN w:val="0"/>
      <w:jc w:val="both"/>
    </w:pPr>
    <w:rPr>
      <w:rFonts w:ascii="宋体" w:hAnsi="Times New Roman" w:eastAsia="宋体" w:cs="Times New Roman"/>
      <w:sz w:val="18"/>
      <w:lang w:val="en-US" w:eastAsia="zh-CN" w:bidi="ar-SA"/>
    </w:rPr>
  </w:style>
  <w:style w:type="paragraph" w:customStyle="1" w:styleId="245">
    <w:name w:val="xl83"/>
    <w:basedOn w:val="1"/>
    <w:qFormat/>
    <w:uiPriority w:val="0"/>
    <w:pPr>
      <w:widowControl/>
      <w:pBdr>
        <w:left w:val="single" w:color="auto" w:sz="8" w:space="0"/>
        <w:bottom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246">
    <w:name w:val="xl82"/>
    <w:basedOn w:val="1"/>
    <w:qFormat/>
    <w:uiPriority w:val="0"/>
    <w:pPr>
      <w:widowControl/>
      <w:pBdr>
        <w:left w:val="single" w:color="auto" w:sz="8" w:space="0"/>
      </w:pBdr>
      <w:shd w:val="clear" w:color="auto" w:fill="CCFFFF"/>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247">
    <w:name w:val="xl47"/>
    <w:basedOn w:val="1"/>
    <w:qFormat/>
    <w:uiPriority w:val="0"/>
    <w:pPr>
      <w:widowControl/>
      <w:pBdr>
        <w:left w:val="single" w:color="auto" w:sz="8" w:space="0"/>
        <w:bottom w:val="single" w:color="auto" w:sz="4" w:space="0"/>
        <w:right w:val="single" w:color="auto" w:sz="8" w:space="0"/>
      </w:pBdr>
      <w:spacing w:before="100" w:beforeAutospacing="1" w:after="100" w:afterAutospacing="1"/>
      <w:jc w:val="center"/>
    </w:pPr>
    <w:rPr>
      <w:rFonts w:ascii="宋体" w:hAnsi="宋体"/>
      <w:kern w:val="0"/>
      <w:sz w:val="24"/>
      <w:szCs w:val="24"/>
    </w:rPr>
  </w:style>
  <w:style w:type="paragraph" w:customStyle="1" w:styleId="248">
    <w:name w:val="xl91"/>
    <w:basedOn w:val="1"/>
    <w:qFormat/>
    <w:uiPriority w:val="0"/>
    <w:pPr>
      <w:widowControl/>
      <w:pBdr>
        <w:left w:val="single" w:color="auto" w:sz="8" w:space="0"/>
        <w:bottom w:val="single" w:color="auto" w:sz="8" w:space="0"/>
        <w:right w:val="single" w:color="auto" w:sz="8" w:space="0"/>
      </w:pBdr>
      <w:shd w:val="clear" w:color="auto" w:fill="CCFFCC"/>
      <w:spacing w:before="100" w:beforeAutospacing="1" w:after="100" w:afterAutospacing="1"/>
      <w:jc w:val="center"/>
    </w:pPr>
    <w:rPr>
      <w:rFonts w:ascii="Times New Roman" w:hAnsi="Times New Roman" w:eastAsia="Arial Unicode MS"/>
      <w:kern w:val="0"/>
      <w:sz w:val="24"/>
      <w:szCs w:val="24"/>
    </w:rPr>
  </w:style>
  <w:style w:type="paragraph" w:customStyle="1" w:styleId="249">
    <w:name w:val="xl76"/>
    <w:basedOn w:val="1"/>
    <w:uiPriority w:val="0"/>
    <w:pPr>
      <w:widowControl/>
      <w:pBdr>
        <w:top w:val="single" w:color="auto" w:sz="8" w:space="0"/>
        <w:bottom w:val="single" w:color="auto" w:sz="4"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250">
    <w:name w:val="Char Char Char Char Char Char Char Char Char Char Char Char Char Char Char Char"/>
    <w:basedOn w:val="1"/>
    <w:uiPriority w:val="0"/>
    <w:pPr>
      <w:spacing w:line="330" w:lineRule="atLeast"/>
      <w:ind w:left="360" w:firstLine="360" w:firstLineChars="150"/>
      <w:jc w:val="left"/>
    </w:pPr>
    <w:rPr>
      <w:rFonts w:ascii="ˎ̥" w:hAnsi="ˎ̥" w:cs="宋体"/>
      <w:color w:val="51585D"/>
      <w:kern w:val="0"/>
      <w:sz w:val="24"/>
      <w:szCs w:val="18"/>
    </w:rPr>
  </w:style>
  <w:style w:type="paragraph" w:customStyle="1" w:styleId="251">
    <w:name w:val="xl45"/>
    <w:basedOn w:val="1"/>
    <w:qFormat/>
    <w:uiPriority w:val="0"/>
    <w:pPr>
      <w:widowControl/>
      <w:pBdr>
        <w:top w:val="single" w:color="auto" w:sz="4" w:space="0"/>
        <w:left w:val="single" w:color="auto" w:sz="8" w:space="0"/>
        <w:right w:val="single" w:color="auto" w:sz="8" w:space="0"/>
      </w:pBdr>
      <w:spacing w:before="100" w:beforeAutospacing="1" w:after="100" w:afterAutospacing="1"/>
      <w:jc w:val="center"/>
    </w:pPr>
    <w:rPr>
      <w:rFonts w:ascii="宋体" w:hAnsi="宋体"/>
      <w:kern w:val="0"/>
      <w:sz w:val="24"/>
      <w:szCs w:val="24"/>
    </w:rPr>
  </w:style>
  <w:style w:type="paragraph" w:customStyle="1" w:styleId="252">
    <w:name w:val="xl56"/>
    <w:basedOn w:val="1"/>
    <w:qFormat/>
    <w:uiPriority w:val="0"/>
    <w:pPr>
      <w:widowControl/>
      <w:pBdr>
        <w:bottom w:val="single" w:color="auto" w:sz="8" w:space="0"/>
        <w:right w:val="single" w:color="auto" w:sz="8" w:space="0"/>
      </w:pBdr>
      <w:spacing w:before="100" w:beforeAutospacing="1" w:after="100" w:afterAutospacing="1"/>
      <w:jc w:val="left"/>
    </w:pPr>
    <w:rPr>
      <w:rFonts w:ascii="宋体" w:hAnsi="宋体"/>
      <w:kern w:val="0"/>
      <w:sz w:val="24"/>
      <w:szCs w:val="24"/>
    </w:rPr>
  </w:style>
  <w:style w:type="paragraph" w:customStyle="1" w:styleId="253">
    <w:name w:val="引言 2"/>
    <w:next w:val="172"/>
    <w:qFormat/>
    <w:uiPriority w:val="0"/>
    <w:pPr>
      <w:numPr>
        <w:ilvl w:val="2"/>
        <w:numId w:val="3"/>
      </w:numPr>
      <w:spacing w:line="310" w:lineRule="exact"/>
    </w:pPr>
    <w:rPr>
      <w:rFonts w:ascii="Times New Roman" w:hAnsi="Times New Roman" w:eastAsia="黑体" w:cs="Times New Roman"/>
      <w:sz w:val="21"/>
      <w:lang w:val="en-US" w:eastAsia="zh-CN" w:bidi="ar-SA"/>
    </w:rPr>
  </w:style>
  <w:style w:type="paragraph" w:customStyle="1" w:styleId="254">
    <w:name w:val="列项·"/>
    <w:next w:val="172"/>
    <w:qFormat/>
    <w:uiPriority w:val="0"/>
    <w:pPr>
      <w:numPr>
        <w:ilvl w:val="0"/>
        <w:numId w:val="9"/>
      </w:numPr>
      <w:tabs>
        <w:tab w:val="left" w:pos="840"/>
      </w:tabs>
      <w:jc w:val="both"/>
    </w:pPr>
    <w:rPr>
      <w:rFonts w:ascii="宋体" w:hAnsi="Times New Roman" w:eastAsia="宋体" w:cs="Times New Roman"/>
      <w:sz w:val="21"/>
      <w:lang w:val="en-US" w:eastAsia="zh-CN" w:bidi="ar-SA"/>
    </w:rPr>
  </w:style>
  <w:style w:type="paragraph" w:customStyle="1" w:styleId="255">
    <w:name w:val="Char2"/>
    <w:basedOn w:val="1"/>
    <w:uiPriority w:val="0"/>
    <w:rPr>
      <w:rFonts w:ascii="Arial" w:hAnsi="Arial" w:cs="Arial"/>
      <w:sz w:val="20"/>
      <w:szCs w:val="20"/>
    </w:rPr>
  </w:style>
  <w:style w:type="paragraph" w:customStyle="1" w:styleId="256">
    <w:name w:val="xl24"/>
    <w:basedOn w:val="1"/>
    <w:qFormat/>
    <w:uiPriority w:val="0"/>
    <w:pPr>
      <w:widowControl/>
      <w:spacing w:before="100" w:beforeAutospacing="1" w:after="100" w:afterAutospacing="1"/>
      <w:jc w:val="left"/>
      <w:textAlignment w:val="center"/>
    </w:pPr>
    <w:rPr>
      <w:rFonts w:ascii="宋体" w:hAnsi="宋体"/>
      <w:kern w:val="0"/>
      <w:sz w:val="24"/>
      <w:szCs w:val="24"/>
    </w:rPr>
  </w:style>
  <w:style w:type="character" w:customStyle="1" w:styleId="257">
    <w:name w:val="批注文字 Char"/>
    <w:uiPriority w:val="0"/>
    <w:rPr>
      <w:kern w:val="2"/>
      <w:sz w:val="21"/>
    </w:rPr>
  </w:style>
  <w:style w:type="character" w:customStyle="1" w:styleId="258">
    <w:name w:val="日期 Char"/>
    <w:uiPriority w:val="0"/>
    <w:rPr>
      <w:kern w:val="2"/>
      <w:sz w:val="24"/>
      <w:szCs w:val="24"/>
    </w:rPr>
  </w:style>
  <w:style w:type="character" w:customStyle="1" w:styleId="259">
    <w:name w:val="正文文本 2 Char"/>
    <w:qFormat/>
    <w:uiPriority w:val="0"/>
    <w:rPr>
      <w:kern w:val="2"/>
      <w:sz w:val="24"/>
      <w:szCs w:val="24"/>
    </w:rPr>
  </w:style>
  <w:style w:type="character" w:customStyle="1" w:styleId="260">
    <w:name w:val="正文文本缩进 Char"/>
    <w:qFormat/>
    <w:uiPriority w:val="0"/>
    <w:rPr>
      <w:kern w:val="2"/>
      <w:sz w:val="24"/>
      <w:szCs w:val="24"/>
    </w:rPr>
  </w:style>
  <w:style w:type="character" w:customStyle="1" w:styleId="261">
    <w:name w:val="标题 1 Char"/>
    <w:qFormat/>
    <w:uiPriority w:val="0"/>
    <w:rPr>
      <w:rFonts w:ascii="Calibri" w:hAnsi="Calibri"/>
      <w:b/>
      <w:bCs/>
      <w:kern w:val="44"/>
      <w:sz w:val="44"/>
      <w:szCs w:val="44"/>
      <w:lang w:val="zh-CN" w:eastAsia="zh-CN"/>
    </w:rPr>
  </w:style>
  <w:style w:type="character" w:customStyle="1" w:styleId="262">
    <w:name w:val="批注框文本 Char"/>
    <w:qFormat/>
    <w:uiPriority w:val="0"/>
    <w:rPr>
      <w:kern w:val="2"/>
      <w:sz w:val="18"/>
      <w:szCs w:val="18"/>
    </w:rPr>
  </w:style>
  <w:style w:type="paragraph" w:customStyle="1" w:styleId="263">
    <w:name w:val="列出段落1"/>
    <w:basedOn w:val="1"/>
    <w:qFormat/>
    <w:uiPriority w:val="99"/>
    <w:pPr>
      <w:spacing w:line="300" w:lineRule="auto"/>
      <w:ind w:firstLine="420" w:firstLineChars="200"/>
    </w:pPr>
  </w:style>
  <w:style w:type="character" w:customStyle="1" w:styleId="264">
    <w:name w:val="段 Char"/>
    <w:link w:val="111"/>
    <w:qFormat/>
    <w:locked/>
    <w:uiPriority w:val="0"/>
    <w:rPr>
      <w:rFonts w:ascii="宋体" w:hAnsi="Times New Roman"/>
      <w:kern w:val="0"/>
      <w:szCs w:val="20"/>
    </w:rPr>
  </w:style>
  <w:style w:type="character" w:customStyle="1" w:styleId="265">
    <w:name w:val="纯文本 Char"/>
    <w:qFormat/>
    <w:uiPriority w:val="0"/>
    <w:rPr>
      <w:rFonts w:ascii="宋体" w:hAnsi="Courier New"/>
      <w:kern w:val="2"/>
      <w:sz w:val="21"/>
    </w:rPr>
  </w:style>
  <w:style w:type="character" w:customStyle="1" w:styleId="266">
    <w:name w:val="二级条标题 Char"/>
    <w:link w:val="109"/>
    <w:qFormat/>
    <w:locked/>
    <w:uiPriority w:val="0"/>
    <w:rPr>
      <w:rFonts w:ascii="黑体" w:hAnsi="Times New Roman" w:eastAsia="黑体"/>
      <w:sz w:val="21"/>
      <w:szCs w:val="21"/>
    </w:rPr>
  </w:style>
  <w:style w:type="paragraph" w:customStyle="1" w:styleId="26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268">
    <w:name w:val="Body Title"/>
    <w:basedOn w:val="1"/>
    <w:link w:val="269"/>
    <w:qFormat/>
    <w:uiPriority w:val="99"/>
    <w:pPr>
      <w:adjustRightInd w:val="0"/>
      <w:spacing w:line="360" w:lineRule="auto"/>
      <w:outlineLvl w:val="2"/>
    </w:pPr>
    <w:rPr>
      <w:rFonts w:ascii="Times New Roman" w:hAnsi="Times New Roman"/>
      <w:b/>
      <w:color w:val="000000"/>
      <w:sz w:val="24"/>
      <w:szCs w:val="20"/>
    </w:rPr>
  </w:style>
  <w:style w:type="character" w:customStyle="1" w:styleId="269">
    <w:name w:val="Body Title Char"/>
    <w:link w:val="268"/>
    <w:qFormat/>
    <w:uiPriority w:val="99"/>
    <w:rPr>
      <w:rFonts w:ascii="Times New Roman" w:hAnsi="Times New Roman"/>
      <w:b/>
      <w:color w:val="000000"/>
      <w:sz w:val="24"/>
      <w:szCs w:val="20"/>
    </w:rPr>
  </w:style>
  <w:style w:type="character" w:customStyle="1" w:styleId="270">
    <w:name w:val="列表段落 字符"/>
    <w:link w:val="55"/>
    <w:qFormat/>
    <w:uiPriority w:val="34"/>
  </w:style>
  <w:style w:type="character" w:customStyle="1" w:styleId="271">
    <w:name w:val="标题 字符1"/>
    <w:link w:val="36"/>
    <w:qFormat/>
    <w:uiPriority w:val="0"/>
    <w:rPr>
      <w:rFonts w:ascii="Cambria" w:hAnsi="Cambria"/>
      <w:b/>
      <w:bCs/>
      <w:sz w:val="32"/>
      <w:szCs w:val="32"/>
    </w:rPr>
  </w:style>
  <w:style w:type="character" w:customStyle="1" w:styleId="272">
    <w:name w:val="正文文本 + 间距 2 pt"/>
    <w:unhideWhenUsed/>
    <w:uiPriority w:val="99"/>
    <w:rPr>
      <w:rFonts w:hint="eastAsia" w:ascii="Arial Unicode MS" w:hAnsi="Arial Unicode MS" w:eastAsia="Arial Unicode MS"/>
      <w:spacing w:val="50"/>
      <w:sz w:val="84"/>
    </w:rPr>
  </w:style>
  <w:style w:type="character" w:customStyle="1" w:styleId="273">
    <w:name w:val="正文文本_"/>
    <w:link w:val="274"/>
    <w:unhideWhenUsed/>
    <w:qFormat/>
    <w:uiPriority w:val="99"/>
    <w:rPr>
      <w:rFonts w:ascii="Arial Unicode MS" w:hAnsi="Arial Unicode MS" w:eastAsia="Arial Unicode MS"/>
      <w:sz w:val="84"/>
      <w:shd w:val="clear" w:color="auto" w:fill="FFFFFF"/>
    </w:rPr>
  </w:style>
  <w:style w:type="paragraph" w:customStyle="1" w:styleId="274">
    <w:name w:val="正文文本1"/>
    <w:basedOn w:val="1"/>
    <w:link w:val="273"/>
    <w:unhideWhenUsed/>
    <w:qFormat/>
    <w:uiPriority w:val="99"/>
    <w:pPr>
      <w:shd w:val="clear" w:color="auto" w:fill="FFFFFF"/>
      <w:spacing w:line="1360" w:lineRule="exact"/>
      <w:ind w:hanging="1940"/>
    </w:pPr>
    <w:rPr>
      <w:rFonts w:ascii="Arial Unicode MS" w:hAnsi="Arial Unicode MS" w:eastAsia="Arial Unicode MS"/>
      <w:sz w:val="84"/>
    </w:rPr>
  </w:style>
  <w:style w:type="character" w:customStyle="1" w:styleId="275">
    <w:name w:val="副标题 字符1"/>
    <w:link w:val="28"/>
    <w:qFormat/>
    <w:uiPriority w:val="0"/>
    <w:rPr>
      <w:rFonts w:ascii="Cambria" w:hAnsi="Cambria"/>
      <w:b/>
      <w:bCs/>
      <w:kern w:val="28"/>
      <w:sz w:val="32"/>
      <w:szCs w:val="32"/>
    </w:rPr>
  </w:style>
  <w:style w:type="character" w:customStyle="1" w:styleId="276">
    <w:name w:val="副标题 字符"/>
    <w:basedOn w:val="41"/>
    <w:qFormat/>
    <w:uiPriority w:val="0"/>
    <w:rPr>
      <w:rFonts w:asciiTheme="minorHAnsi" w:hAnsiTheme="minorHAnsi" w:eastAsiaTheme="minorEastAsia" w:cstheme="minorBidi"/>
      <w:b/>
      <w:bCs/>
      <w:kern w:val="28"/>
      <w:sz w:val="32"/>
      <w:szCs w:val="32"/>
    </w:rPr>
  </w:style>
  <w:style w:type="character" w:customStyle="1" w:styleId="277">
    <w:name w:val="标题 字符"/>
    <w:basedOn w:val="41"/>
    <w:qFormat/>
    <w:uiPriority w:val="0"/>
    <w:rPr>
      <w:rFonts w:asciiTheme="majorHAnsi" w:hAnsiTheme="majorHAnsi" w:eastAsiaTheme="majorEastAsia" w:cstheme="majorBidi"/>
      <w:b/>
      <w:bCs/>
      <w:sz w:val="32"/>
      <w:szCs w:val="32"/>
    </w:rPr>
  </w:style>
  <w:style w:type="paragraph" w:customStyle="1" w:styleId="278">
    <w:name w:val="TOC 标题11"/>
    <w:basedOn w:val="3"/>
    <w:next w:val="1"/>
    <w:semiHidden/>
    <w:unhideWhenUsed/>
    <w:qFormat/>
    <w:uiPriority w:val="39"/>
    <w:pPr>
      <w:widowControl/>
      <w:spacing w:before="480" w:after="0" w:line="276" w:lineRule="auto"/>
      <w:jc w:val="left"/>
      <w:outlineLvl w:val="9"/>
    </w:pPr>
    <w:rPr>
      <w:rFonts w:ascii="Cambria" w:hAnsi="Cambria" w:eastAsia="宋体" w:cs="Times New Roman"/>
      <w:color w:val="365F91"/>
      <w:kern w:val="0"/>
      <w:sz w:val="28"/>
      <w:szCs w:val="28"/>
    </w:rPr>
  </w:style>
  <w:style w:type="character" w:customStyle="1" w:styleId="279">
    <w:name w:val="超链接1"/>
    <w:basedOn w:val="41"/>
    <w:unhideWhenUsed/>
    <w:qFormat/>
    <w:uiPriority w:val="99"/>
    <w:rPr>
      <w:color w:val="0000FF"/>
      <w:u w:val="single"/>
    </w:rPr>
  </w:style>
  <w:style w:type="paragraph" w:customStyle="1" w:styleId="280">
    <w:name w:val="题注1"/>
    <w:basedOn w:val="1"/>
    <w:next w:val="1"/>
    <w:unhideWhenUsed/>
    <w:qFormat/>
    <w:uiPriority w:val="35"/>
    <w:rPr>
      <w:rFonts w:ascii="Cambria" w:hAnsi="Cambria" w:eastAsia="黑体"/>
      <w:sz w:val="20"/>
      <w:szCs w:val="20"/>
    </w:rPr>
  </w:style>
  <w:style w:type="table" w:customStyle="1" w:styleId="281">
    <w:name w:val="网格型2"/>
    <w:basedOn w:val="38"/>
    <w:qFormat/>
    <w:uiPriority w:val="0"/>
    <w:pPr>
      <w:widowControl w:val="0"/>
      <w:jc w:val="both"/>
    </w:pPr>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82">
    <w:name w:val="D2 Char Char"/>
    <w:link w:val="283"/>
    <w:uiPriority w:val="0"/>
    <w:rPr>
      <w:rFonts w:ascii="EU-F1" w:eastAsia="黑体"/>
      <w:kern w:val="21"/>
      <w:szCs w:val="21"/>
    </w:rPr>
  </w:style>
  <w:style w:type="paragraph" w:customStyle="1" w:styleId="283">
    <w:name w:val="D2"/>
    <w:basedOn w:val="1"/>
    <w:link w:val="282"/>
    <w:qFormat/>
    <w:uiPriority w:val="0"/>
    <w:pPr>
      <w:spacing w:line="312" w:lineRule="exact"/>
    </w:pPr>
    <w:rPr>
      <w:rFonts w:ascii="EU-F1" w:eastAsia="黑体"/>
      <w:kern w:val="21"/>
      <w:szCs w:val="21"/>
    </w:rPr>
  </w:style>
  <w:style w:type="character" w:customStyle="1" w:styleId="284">
    <w:name w:val="d5 Char Char"/>
    <w:link w:val="285"/>
    <w:qFormat/>
    <w:uiPriority w:val="0"/>
    <w:rPr>
      <w:rFonts w:ascii="EU-F1" w:eastAsia="EU-F1"/>
      <w:szCs w:val="24"/>
    </w:rPr>
  </w:style>
  <w:style w:type="paragraph" w:customStyle="1" w:styleId="285">
    <w:name w:val="d5"/>
    <w:basedOn w:val="1"/>
    <w:link w:val="284"/>
    <w:qFormat/>
    <w:uiPriority w:val="0"/>
    <w:pPr>
      <w:topLinePunct/>
      <w:spacing w:line="312" w:lineRule="exact"/>
    </w:pPr>
    <w:rPr>
      <w:rFonts w:ascii="EU-F1" w:eastAsia="EU-F1"/>
      <w:szCs w:val="24"/>
    </w:rPr>
  </w:style>
  <w:style w:type="character" w:customStyle="1" w:styleId="286">
    <w:name w:val="D3 Char Char"/>
    <w:link w:val="287"/>
    <w:uiPriority w:val="0"/>
    <w:rPr>
      <w:rFonts w:ascii="宋体" w:hAnsi="宋体"/>
      <w:b/>
      <w:color w:val="000000"/>
      <w:szCs w:val="21"/>
    </w:rPr>
  </w:style>
  <w:style w:type="paragraph" w:customStyle="1" w:styleId="287">
    <w:name w:val="D3"/>
    <w:basedOn w:val="288"/>
    <w:link w:val="286"/>
    <w:qFormat/>
    <w:uiPriority w:val="0"/>
    <w:pPr>
      <w:topLinePunct/>
      <w:spacing w:line="312" w:lineRule="exact"/>
    </w:pPr>
    <w:rPr>
      <w:sz w:val="21"/>
      <w:szCs w:val="21"/>
    </w:rPr>
  </w:style>
  <w:style w:type="paragraph" w:customStyle="1" w:styleId="288">
    <w:name w:val="默认段落字体 Para Char Char Char Char"/>
    <w:basedOn w:val="1"/>
    <w:link w:val="298"/>
    <w:uiPriority w:val="0"/>
    <w:rPr>
      <w:rFonts w:ascii="宋体" w:hAnsi="宋体"/>
      <w:b/>
      <w:color w:val="000000"/>
      <w:sz w:val="24"/>
      <w:szCs w:val="24"/>
    </w:rPr>
  </w:style>
  <w:style w:type="character" w:customStyle="1" w:styleId="289">
    <w:name w:val="Char Char Char"/>
    <w:link w:val="105"/>
    <w:uiPriority w:val="0"/>
    <w:rPr>
      <w:rFonts w:ascii="Arial" w:hAnsi="Arial" w:cs="Arial"/>
      <w:sz w:val="20"/>
      <w:szCs w:val="20"/>
    </w:rPr>
  </w:style>
  <w:style w:type="character" w:customStyle="1" w:styleId="290">
    <w:name w:val="b Char Char"/>
    <w:link w:val="291"/>
    <w:uiPriority w:val="0"/>
    <w:rPr>
      <w:rFonts w:ascii="EU-F1" w:eastAsia="黑体"/>
      <w:szCs w:val="21"/>
    </w:rPr>
  </w:style>
  <w:style w:type="paragraph" w:customStyle="1" w:styleId="291">
    <w:name w:val="b"/>
    <w:basedOn w:val="292"/>
    <w:link w:val="290"/>
    <w:qFormat/>
    <w:uiPriority w:val="0"/>
    <w:pPr>
      <w:tabs>
        <w:tab w:val="center" w:pos="4706"/>
        <w:tab w:val="right" w:pos="9044"/>
      </w:tabs>
      <w:wordWrap/>
      <w:spacing w:line="312" w:lineRule="exact"/>
    </w:pPr>
    <w:rPr>
      <w:rFonts w:ascii="EU-F1"/>
      <w:szCs w:val="21"/>
    </w:rPr>
  </w:style>
  <w:style w:type="paragraph" w:customStyle="1" w:styleId="292">
    <w:name w:val="表头"/>
    <w:basedOn w:val="1"/>
    <w:link w:val="293"/>
    <w:qFormat/>
    <w:uiPriority w:val="0"/>
    <w:pPr>
      <w:wordWrap w:val="0"/>
      <w:topLinePunct/>
      <w:spacing w:before="160" w:after="60"/>
      <w:jc w:val="center"/>
    </w:pPr>
    <w:rPr>
      <w:rFonts w:eastAsia="黑体"/>
    </w:rPr>
  </w:style>
  <w:style w:type="character" w:customStyle="1" w:styleId="293">
    <w:name w:val="表头 Char Char"/>
    <w:link w:val="292"/>
    <w:qFormat/>
    <w:uiPriority w:val="0"/>
    <w:rPr>
      <w:rFonts w:eastAsia="黑体"/>
    </w:rPr>
  </w:style>
  <w:style w:type="character" w:customStyle="1" w:styleId="294">
    <w:name w:val="电子邮件签名 字符1"/>
    <w:link w:val="13"/>
    <w:qFormat/>
    <w:uiPriority w:val="0"/>
    <w:rPr>
      <w:szCs w:val="24"/>
    </w:rPr>
  </w:style>
  <w:style w:type="character" w:customStyle="1" w:styleId="295">
    <w:name w:val="正文格式 Char Char"/>
    <w:link w:val="296"/>
    <w:qFormat/>
    <w:uiPriority w:val="0"/>
    <w:rPr>
      <w:rFonts w:ascii="宋体" w:hAnsi="宋体"/>
    </w:rPr>
  </w:style>
  <w:style w:type="paragraph" w:customStyle="1" w:styleId="296">
    <w:name w:val="正文格式"/>
    <w:basedOn w:val="1"/>
    <w:link w:val="295"/>
    <w:uiPriority w:val="0"/>
    <w:pPr>
      <w:topLinePunct/>
      <w:ind w:firstLine="420" w:firstLineChars="200"/>
    </w:pPr>
    <w:rPr>
      <w:rFonts w:ascii="宋体" w:hAnsi="宋体"/>
    </w:rPr>
  </w:style>
  <w:style w:type="character" w:customStyle="1" w:styleId="297">
    <w:name w:val="标题 9 字符1"/>
    <w:qFormat/>
    <w:uiPriority w:val="0"/>
    <w:rPr>
      <w:rFonts w:ascii="Cambria" w:hAnsi="Cambria" w:eastAsia="宋体" w:cs="Times New Roman"/>
      <w:szCs w:val="21"/>
      <w:lang w:val="zh-CN" w:eastAsia="zh-CN"/>
    </w:rPr>
  </w:style>
  <w:style w:type="character" w:customStyle="1" w:styleId="298">
    <w:name w:val="默认段落字体 Para Char Char Char Char Char1"/>
    <w:link w:val="288"/>
    <w:uiPriority w:val="0"/>
    <w:rPr>
      <w:rFonts w:ascii="宋体" w:hAnsi="宋体"/>
      <w:b/>
      <w:color w:val="000000"/>
      <w:sz w:val="24"/>
      <w:szCs w:val="24"/>
    </w:rPr>
  </w:style>
  <w:style w:type="character" w:customStyle="1" w:styleId="299">
    <w:name w:val="无间隔 字符"/>
    <w:link w:val="62"/>
    <w:qFormat/>
    <w:uiPriority w:val="0"/>
    <w:rPr>
      <w:rFonts w:ascii="宋体" w:hAnsi="宋体" w:cstheme="minorBidi"/>
    </w:rPr>
  </w:style>
  <w:style w:type="character" w:customStyle="1" w:styleId="300">
    <w:name w:val="数字EU Char Char"/>
    <w:link w:val="301"/>
    <w:qFormat/>
    <w:uiPriority w:val="0"/>
    <w:rPr>
      <w:rFonts w:ascii="EU-F1"/>
      <w:kern w:val="21"/>
      <w:szCs w:val="21"/>
    </w:rPr>
  </w:style>
  <w:style w:type="paragraph" w:customStyle="1" w:styleId="301">
    <w:name w:val="数字EU"/>
    <w:basedOn w:val="1"/>
    <w:link w:val="300"/>
    <w:uiPriority w:val="0"/>
    <w:pPr>
      <w:wordWrap w:val="0"/>
      <w:overflowPunct w:val="0"/>
      <w:topLinePunct/>
    </w:pPr>
    <w:rPr>
      <w:rFonts w:ascii="EU-F1"/>
      <w:kern w:val="21"/>
      <w:szCs w:val="21"/>
    </w:rPr>
  </w:style>
  <w:style w:type="paragraph" w:customStyle="1" w:styleId="302">
    <w:name w:val="表文"/>
    <w:basedOn w:val="1"/>
    <w:qFormat/>
    <w:uiPriority w:val="0"/>
    <w:pPr>
      <w:topLinePunct/>
      <w:spacing w:before="40" w:after="40"/>
    </w:pPr>
    <w:rPr>
      <w:rFonts w:ascii="仿宋_GB2312" w:hAnsi="仿宋_GB2312" w:eastAsia="仿宋_GB2312"/>
      <w:sz w:val="18"/>
      <w:szCs w:val="20"/>
    </w:rPr>
  </w:style>
  <w:style w:type="character" w:customStyle="1" w:styleId="303">
    <w:name w:val="电子邮件签名 字符"/>
    <w:basedOn w:val="41"/>
    <w:semiHidden/>
    <w:qFormat/>
    <w:uiPriority w:val="99"/>
  </w:style>
  <w:style w:type="paragraph" w:customStyle="1" w:styleId="304">
    <w:name w:val="Char Char Char Char Char2 Char2"/>
    <w:basedOn w:val="1"/>
    <w:uiPriority w:val="0"/>
    <w:rPr>
      <w:rFonts w:ascii="Times New Roman" w:hAnsi="Times New Roman"/>
      <w:szCs w:val="20"/>
    </w:rPr>
  </w:style>
  <w:style w:type="paragraph" w:customStyle="1" w:styleId="305">
    <w:name w:val="样式7"/>
    <w:basedOn w:val="1"/>
    <w:uiPriority w:val="0"/>
    <w:pPr>
      <w:snapToGrid w:val="0"/>
    </w:pPr>
    <w:rPr>
      <w:rFonts w:ascii="Times New Roman" w:hAnsi="Times New Roman"/>
      <w:szCs w:val="24"/>
    </w:rPr>
  </w:style>
  <w:style w:type="paragraph" w:customStyle="1" w:styleId="306">
    <w:name w:val="B"/>
    <w:basedOn w:val="292"/>
    <w:qFormat/>
    <w:uiPriority w:val="0"/>
    <w:pPr>
      <w:tabs>
        <w:tab w:val="center" w:pos="4706"/>
        <w:tab w:val="right" w:pos="9044"/>
      </w:tabs>
      <w:wordWrap/>
      <w:spacing w:line="312" w:lineRule="exact"/>
    </w:pPr>
    <w:rPr>
      <w:rFonts w:ascii="E-F1"/>
      <w:szCs w:val="21"/>
    </w:rPr>
  </w:style>
  <w:style w:type="paragraph" w:customStyle="1" w:styleId="307">
    <w:name w:val="表格内字体字号"/>
    <w:basedOn w:val="1"/>
    <w:qFormat/>
    <w:uiPriority w:val="0"/>
    <w:pPr>
      <w:topLinePunct/>
      <w:snapToGrid w:val="0"/>
      <w:spacing w:before="62" w:beforeLines="20" w:after="62" w:afterLines="20"/>
      <w:ind w:left="30" w:leftChars="30" w:right="30" w:rightChars="30"/>
      <w:jc w:val="center"/>
    </w:pPr>
    <w:rPr>
      <w:rFonts w:ascii="Times New Roman" w:hAnsi="Times New Roman"/>
      <w:sz w:val="18"/>
      <w:szCs w:val="18"/>
    </w:rPr>
  </w:style>
  <w:style w:type="paragraph" w:customStyle="1" w:styleId="308">
    <w:name w:val="D1"/>
    <w:basedOn w:val="1"/>
    <w:uiPriority w:val="0"/>
    <w:pPr>
      <w:spacing w:line="480" w:lineRule="auto"/>
    </w:pPr>
    <w:rPr>
      <w:rFonts w:ascii="EU-F1" w:hAnsi="Times New Roman" w:eastAsia="黑体"/>
      <w:szCs w:val="21"/>
    </w:rPr>
  </w:style>
  <w:style w:type="paragraph" w:customStyle="1" w:styleId="309">
    <w:name w:val="Char Char1 Char Char Char"/>
    <w:basedOn w:val="15"/>
    <w:uiPriority w:val="0"/>
    <w:rPr>
      <w:rFonts w:ascii="Times New Roman" w:hAnsi="Times New Roman"/>
      <w:szCs w:val="24"/>
    </w:rPr>
  </w:style>
  <w:style w:type="paragraph" w:customStyle="1" w:styleId="310">
    <w:name w:val="样式1"/>
    <w:basedOn w:val="1"/>
    <w:uiPriority w:val="0"/>
    <w:rPr>
      <w:rFonts w:ascii="Times New Roman" w:hAnsi="Times New Roman"/>
      <w:sz w:val="28"/>
      <w:szCs w:val="20"/>
    </w:rPr>
  </w:style>
  <w:style w:type="paragraph" w:customStyle="1" w:styleId="311">
    <w:name w:val="Char Char Char1 Char Char Char Char"/>
    <w:basedOn w:val="1"/>
    <w:uiPriority w:val="0"/>
    <w:rPr>
      <w:rFonts w:ascii="Times New Roman" w:hAnsi="Times New Roman"/>
      <w:szCs w:val="20"/>
    </w:rPr>
  </w:style>
  <w:style w:type="paragraph" w:customStyle="1" w:styleId="312">
    <w:name w:val="bbb"/>
    <w:basedOn w:val="1"/>
    <w:uiPriority w:val="0"/>
    <w:pPr>
      <w:topLinePunct/>
      <w:snapToGrid w:val="0"/>
      <w:spacing w:before="60" w:after="60"/>
      <w:jc w:val="center"/>
    </w:pPr>
    <w:rPr>
      <w:rFonts w:ascii="Times New Roman" w:hAnsi="Times New Roman"/>
      <w:sz w:val="18"/>
      <w:szCs w:val="18"/>
    </w:rPr>
  </w:style>
  <w:style w:type="character" w:customStyle="1" w:styleId="313">
    <w:name w:val="正文缩进 字符"/>
    <w:link w:val="7"/>
    <w:uiPriority w:val="0"/>
    <w:rPr>
      <w:rFonts w:ascii="Times New Roman" w:hAnsi="Times New Roman"/>
      <w:szCs w:val="20"/>
    </w:rPr>
  </w:style>
  <w:style w:type="character" w:customStyle="1" w:styleId="314">
    <w:name w:val="数字EU Char"/>
    <w:qFormat/>
    <w:uiPriority w:val="0"/>
    <w:rPr>
      <w:rFonts w:ascii="EU-F1"/>
      <w:kern w:val="21"/>
      <w:sz w:val="21"/>
    </w:rPr>
  </w:style>
  <w:style w:type="paragraph" w:customStyle="1" w:styleId="315">
    <w:name w:val="正文表标题"/>
    <w:next w:val="1"/>
    <w:uiPriority w:val="0"/>
    <w:pPr>
      <w:numPr>
        <w:ilvl w:val="0"/>
        <w:numId w:val="10"/>
      </w:numPr>
      <w:spacing w:before="156" w:beforeLines="50" w:after="156" w:afterLines="50"/>
      <w:jc w:val="center"/>
    </w:pPr>
    <w:rPr>
      <w:rFonts w:ascii="黑体" w:hAnsi="Times New Roman" w:eastAsia="黑体" w:cs="Times New Roman"/>
      <w:sz w:val="21"/>
      <w:lang w:val="en-US" w:eastAsia="zh-CN" w:bidi="ar-SA"/>
    </w:rPr>
  </w:style>
  <w:style w:type="paragraph" w:customStyle="1" w:styleId="316">
    <w:name w:val="一级无"/>
    <w:basedOn w:val="1"/>
    <w:qFormat/>
    <w:uiPriority w:val="0"/>
    <w:pPr>
      <w:widowControl/>
      <w:numPr>
        <w:ilvl w:val="1"/>
        <w:numId w:val="11"/>
      </w:numPr>
      <w:jc w:val="left"/>
      <w:outlineLvl w:val="2"/>
    </w:pPr>
    <w:rPr>
      <w:rFonts w:ascii="宋体" w:hAnsi="Times New Roman"/>
      <w:kern w:val="0"/>
      <w:szCs w:val="21"/>
    </w:rPr>
  </w:style>
  <w:style w:type="character" w:customStyle="1" w:styleId="317">
    <w:name w:val="样式-正文 Char"/>
    <w:link w:val="318"/>
    <w:qFormat/>
    <w:uiPriority w:val="0"/>
    <w:rPr>
      <w:rFonts w:ascii="宋体" w:hAnsi="宋体"/>
      <w:sz w:val="24"/>
    </w:rPr>
  </w:style>
  <w:style w:type="paragraph" w:customStyle="1" w:styleId="318">
    <w:name w:val="样式-正文"/>
    <w:basedOn w:val="1"/>
    <w:link w:val="317"/>
    <w:qFormat/>
    <w:uiPriority w:val="0"/>
    <w:pPr>
      <w:spacing w:line="360" w:lineRule="auto"/>
      <w:ind w:firstLine="200" w:firstLineChars="200"/>
      <w:jc w:val="left"/>
    </w:pPr>
    <w:rPr>
      <w:rFonts w:ascii="宋体" w:hAnsi="宋体"/>
      <w:sz w:val="24"/>
    </w:rPr>
  </w:style>
  <w:style w:type="paragraph" w:customStyle="1" w:styleId="319">
    <w:name w:val="修订1"/>
    <w:hidden/>
    <w:semiHidden/>
    <w:qFormat/>
    <w:uiPriority w:val="99"/>
    <w:rPr>
      <w:rFonts w:ascii="Times New Roman" w:hAnsi="Times New Roman" w:eastAsia="宋体" w:cs="Times New Roman"/>
      <w:kern w:val="2"/>
      <w:sz w:val="21"/>
      <w:lang w:val="en-US" w:eastAsia="zh-CN" w:bidi="ar-SA"/>
    </w:rPr>
  </w:style>
  <w:style w:type="paragraph" w:customStyle="1" w:styleId="320">
    <w:name w:val="用户1"/>
    <w:basedOn w:val="3"/>
    <w:qFormat/>
    <w:uiPriority w:val="0"/>
    <w:pPr>
      <w:keepLines w:val="0"/>
      <w:spacing w:before="0" w:after="0" w:line="240" w:lineRule="auto"/>
    </w:pPr>
    <w:rPr>
      <w:rFonts w:ascii="宋体" w:hAnsi="宋体" w:eastAsia="宋体" w:cs="Arial"/>
      <w:bCs w:val="0"/>
      <w:kern w:val="2"/>
      <w:sz w:val="30"/>
      <w:szCs w:val="30"/>
    </w:rPr>
  </w:style>
  <w:style w:type="paragraph" w:customStyle="1" w:styleId="321">
    <w:name w:val="用户2"/>
    <w:basedOn w:val="4"/>
    <w:uiPriority w:val="0"/>
    <w:pPr>
      <w:autoSpaceDE w:val="0"/>
      <w:autoSpaceDN w:val="0"/>
      <w:adjustRightInd w:val="0"/>
      <w:spacing w:line="416" w:lineRule="atLeast"/>
      <w:textAlignment w:val="baseline"/>
    </w:pPr>
    <w:rPr>
      <w:rFonts w:ascii="宋体" w:hAnsi="宋体" w:eastAsia="宋体"/>
      <w:kern w:val="0"/>
      <w:sz w:val="21"/>
      <w:szCs w:val="21"/>
    </w:rPr>
  </w:style>
  <w:style w:type="table" w:customStyle="1" w:styleId="322">
    <w:name w:val="网格型4"/>
    <w:basedOn w:val="38"/>
    <w:qFormat/>
    <w:uiPriority w:val="0"/>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23">
    <w:name w:val="修订1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324">
    <w:name w:val="修订2"/>
    <w:hidden/>
    <w:semiHidden/>
    <w:qFormat/>
    <w:uiPriority w:val="99"/>
    <w:rPr>
      <w:rFonts w:asciiTheme="minorHAnsi" w:hAnsiTheme="minorHAnsi" w:eastAsiaTheme="minorEastAsia" w:cstheme="minorBidi"/>
      <w:kern w:val="2"/>
      <w:sz w:val="21"/>
      <w:szCs w:val="22"/>
      <w:lang w:val="en-US" w:eastAsia="zh-CN" w:bidi="ar-SA"/>
    </w:rPr>
  </w:style>
  <w:style w:type="table" w:customStyle="1" w:styleId="325">
    <w:name w:val="网格型11"/>
    <w:basedOn w:val="38"/>
    <w:uiPriority w:val="59"/>
    <w:pPr>
      <w:widowControl w:val="0"/>
      <w:spacing w:line="440" w:lineRule="exact"/>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26">
    <w:name w:val="网格型12"/>
    <w:basedOn w:val="38"/>
    <w:qFormat/>
    <w:uiPriority w:val="59"/>
    <w:pPr>
      <w:widowControl w:val="0"/>
      <w:spacing w:line="440" w:lineRule="exact"/>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27">
    <w:name w:val="网格型13"/>
    <w:basedOn w:val="38"/>
    <w:qFormat/>
    <w:uiPriority w:val="59"/>
    <w:pPr>
      <w:widowControl w:val="0"/>
      <w:spacing w:line="440" w:lineRule="exact"/>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28">
    <w:name w:val="网格型14"/>
    <w:basedOn w:val="38"/>
    <w:qFormat/>
    <w:uiPriority w:val="59"/>
    <w:pPr>
      <w:widowControl w:val="0"/>
      <w:spacing w:line="440" w:lineRule="exact"/>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29">
    <w:name w:val="网格型15"/>
    <w:basedOn w:val="38"/>
    <w:qFormat/>
    <w:uiPriority w:val="59"/>
    <w:pPr>
      <w:widowControl w:val="0"/>
      <w:spacing w:line="440" w:lineRule="exact"/>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30">
    <w:name w:val="正文文本缩进2"/>
    <w:basedOn w:val="1"/>
    <w:qFormat/>
    <w:uiPriority w:val="0"/>
    <w:pPr>
      <w:spacing w:line="360" w:lineRule="auto"/>
      <w:ind w:left="564"/>
    </w:pPr>
    <w:rPr>
      <w:rFonts w:ascii="Times New Roman" w:hAnsi="Times New Roman"/>
      <w:szCs w:val="20"/>
    </w:rPr>
  </w:style>
  <w:style w:type="character" w:customStyle="1" w:styleId="331">
    <w:name w:val="HTML 预设格式 字符"/>
    <w:basedOn w:val="41"/>
    <w:link w:val="34"/>
    <w:qFormat/>
    <w:uiPriority w:val="99"/>
    <w:rPr>
      <w:rFonts w:ascii="宋体" w:hAnsi="宋体" w:cs="宋体"/>
      <w:color w:val="000000"/>
      <w:kern w:val="0"/>
      <w:szCs w:val="21"/>
    </w:rPr>
  </w:style>
  <w:style w:type="paragraph" w:customStyle="1" w:styleId="332">
    <w:name w:val="01)编号"/>
    <w:basedOn w:val="1"/>
    <w:uiPriority w:val="0"/>
    <w:pPr>
      <w:numPr>
        <w:ilvl w:val="0"/>
        <w:numId w:val="12"/>
      </w:numPr>
      <w:spacing w:line="360" w:lineRule="auto"/>
    </w:pPr>
    <w:rPr>
      <w:rFonts w:ascii="Times New Roman" w:hAnsi="Times New Roman"/>
      <w:sz w:val="24"/>
      <w:szCs w:val="24"/>
    </w:rPr>
  </w:style>
  <w:style w:type="character" w:customStyle="1" w:styleId="333">
    <w:name w:val="pblue1"/>
    <w:qFormat/>
    <w:uiPriority w:val="0"/>
    <w:rPr>
      <w:rFonts w:hint="eastAsia" w:ascii="宋体" w:hAnsi="宋体" w:eastAsia="宋体"/>
      <w:color w:val="3366CC"/>
      <w:sz w:val="18"/>
      <w:szCs w:val="18"/>
    </w:rPr>
  </w:style>
  <w:style w:type="character" w:customStyle="1" w:styleId="334">
    <w:name w:val="font01"/>
    <w:basedOn w:val="41"/>
    <w:qFormat/>
    <w:uiPriority w:val="0"/>
    <w:rPr>
      <w:rFonts w:hint="eastAsia" w:ascii="宋体" w:hAnsi="宋体" w:eastAsia="宋体" w:cs="宋体"/>
      <w:color w:val="000000"/>
      <w:sz w:val="22"/>
      <w:szCs w:val="22"/>
      <w:u w:val="none"/>
    </w:rPr>
  </w:style>
  <w:style w:type="character" w:customStyle="1" w:styleId="335">
    <w:name w:val="font71"/>
    <w:basedOn w:val="41"/>
    <w:qFormat/>
    <w:uiPriority w:val="0"/>
    <w:rPr>
      <w:rFonts w:hint="eastAsia" w:ascii="方正姚体" w:hAnsi="方正姚体" w:eastAsia="方正姚体" w:cs="方正姚体"/>
      <w:b/>
      <w:color w:val="000000"/>
      <w:sz w:val="18"/>
      <w:szCs w:val="18"/>
      <w:u w:val="none"/>
    </w:rPr>
  </w:style>
  <w:style w:type="character" w:customStyle="1" w:styleId="336">
    <w:name w:val="font21"/>
    <w:basedOn w:val="41"/>
    <w:qFormat/>
    <w:uiPriority w:val="0"/>
    <w:rPr>
      <w:rFonts w:hint="eastAsia" w:ascii="仿宋" w:hAnsi="仿宋" w:eastAsia="仿宋" w:cs="仿宋"/>
      <w:color w:val="000000"/>
      <w:sz w:val="18"/>
      <w:szCs w:val="18"/>
      <w:u w:val="none"/>
    </w:rPr>
  </w:style>
  <w:style w:type="character" w:customStyle="1" w:styleId="337">
    <w:name w:val="font81"/>
    <w:basedOn w:val="41"/>
    <w:qFormat/>
    <w:uiPriority w:val="0"/>
    <w:rPr>
      <w:rFonts w:hint="eastAsia" w:ascii="仿宋" w:hAnsi="仿宋" w:eastAsia="仿宋" w:cs="仿宋"/>
      <w:b/>
      <w:color w:val="000000"/>
      <w:sz w:val="18"/>
      <w:szCs w:val="18"/>
      <w:u w:val="none"/>
    </w:rPr>
  </w:style>
  <w:style w:type="character" w:customStyle="1" w:styleId="338">
    <w:name w:val="font41"/>
    <w:basedOn w:val="41"/>
    <w:qFormat/>
    <w:uiPriority w:val="0"/>
    <w:rPr>
      <w:rFonts w:hint="eastAsia" w:ascii="仿宋" w:hAnsi="仿宋" w:eastAsia="仿宋" w:cs="仿宋"/>
      <w:color w:val="000000"/>
      <w:sz w:val="18"/>
      <w:szCs w:val="18"/>
      <w:u w:val="none"/>
    </w:rPr>
  </w:style>
  <w:style w:type="character" w:customStyle="1" w:styleId="339">
    <w:name w:val="font51"/>
    <w:basedOn w:val="41"/>
    <w:qFormat/>
    <w:uiPriority w:val="0"/>
    <w:rPr>
      <w:rFonts w:hint="eastAsia" w:ascii="仿宋" w:hAnsi="仿宋" w:eastAsia="仿宋" w:cs="仿宋"/>
      <w:b/>
      <w:color w:val="000000"/>
      <w:sz w:val="18"/>
      <w:szCs w:val="18"/>
      <w:u w:val="none"/>
    </w:rPr>
  </w:style>
  <w:style w:type="character" w:customStyle="1" w:styleId="340">
    <w:name w:val="首行缩进 Char"/>
    <w:link w:val="341"/>
    <w:qFormat/>
    <w:uiPriority w:val="0"/>
    <w:rPr>
      <w:rFonts w:eastAsia="方正书宋简体"/>
      <w:szCs w:val="20"/>
      <w:lang w:val="zh-CN" w:eastAsia="zh-CN"/>
    </w:rPr>
  </w:style>
  <w:style w:type="paragraph" w:customStyle="1" w:styleId="341">
    <w:name w:val="首行缩进"/>
    <w:basedOn w:val="1"/>
    <w:link w:val="340"/>
    <w:qFormat/>
    <w:uiPriority w:val="0"/>
    <w:pPr>
      <w:spacing w:line="300" w:lineRule="auto"/>
      <w:ind w:firstLine="420" w:firstLineChars="200"/>
    </w:pPr>
    <w:rPr>
      <w:rFonts w:eastAsia="方正书宋简体"/>
      <w:szCs w:val="20"/>
      <w:lang w:val="zh-CN"/>
    </w:rPr>
  </w:style>
  <w:style w:type="table" w:customStyle="1" w:styleId="342">
    <w:name w:val="Table Normal"/>
    <w:semiHidden/>
    <w:unhideWhenUsed/>
    <w:qFormat/>
    <w:uiPriority w:val="2"/>
    <w:rPr>
      <w:rFonts w:asciiTheme="minorHAnsi" w:hAnsiTheme="minorHAnsi" w:eastAsiaTheme="minorEastAsia" w:cstheme="minorBidi"/>
    </w:rPr>
    <w:tblPr>
      <w:tblCellMar>
        <w:top w:w="0" w:type="dxa"/>
        <w:left w:w="0" w:type="dxa"/>
        <w:bottom w:w="0" w:type="dxa"/>
        <w:right w:w="0" w:type="dxa"/>
      </w:tblCellMar>
    </w:tblPr>
  </w:style>
  <w:style w:type="paragraph" w:customStyle="1" w:styleId="343">
    <w:name w:val="Table Paragraph"/>
    <w:basedOn w:val="1"/>
    <w:qFormat/>
    <w:uiPriority w:val="1"/>
    <w:pPr>
      <w:jc w:val="left"/>
    </w:pPr>
    <w:rPr>
      <w:rFonts w:asciiTheme="minorHAnsi" w:hAnsiTheme="minorHAnsi" w:eastAsiaTheme="minorEastAsia" w:cstheme="minorBidi"/>
      <w:kern w:val="0"/>
      <w:sz w:val="22"/>
      <w:lang w:eastAsia="en-US"/>
    </w:rPr>
  </w:style>
  <w:style w:type="paragraph" w:customStyle="1" w:styleId="344">
    <w:name w:val="表格正文"/>
    <w:basedOn w:val="1"/>
    <w:qFormat/>
    <w:uiPriority w:val="0"/>
    <w:pPr>
      <w:spacing w:line="240" w:lineRule="atLeast"/>
      <w:jc w:val="center"/>
    </w:pPr>
    <w:rPr>
      <w:rFonts w:asciiTheme="minorHAnsi" w:hAnsiTheme="minorHAnsi" w:eastAsiaTheme="minorEastAsia" w:cstheme="minorBidi"/>
      <w:kern w:val="0"/>
      <w:sz w:val="18"/>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C4680F-A2F1-422D-B0E5-0849587E0296}">
  <ds:schemaRefs/>
</ds:datastoreItem>
</file>

<file path=docProps/app.xml><?xml version="1.0" encoding="utf-8"?>
<Properties xmlns="http://schemas.openxmlformats.org/officeDocument/2006/extended-properties" xmlns:vt="http://schemas.openxmlformats.org/officeDocument/2006/docPropsVTypes">
  <Template>Normal.dotm</Template>
  <Pages>27</Pages>
  <Words>4454</Words>
  <Characters>5794</Characters>
  <Lines>135</Lines>
  <Paragraphs>38</Paragraphs>
  <TotalTime>49</TotalTime>
  <ScaleCrop>false</ScaleCrop>
  <LinksUpToDate>false</LinksUpToDate>
  <CharactersWithSpaces>5870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2021-09-02T09:26:00Z</dcterms:created>
  <dc:creator>zhangy210</dc:creator>
  <cp:lastModifiedBy>WPS_1664504442</cp:lastModifiedBy>
  <cp:lastPrinted>2019-05-14T07:58:00Z</cp:lastPrinted>
  <dcterms:modified xsi:type="dcterms:W3CDTF">2025-12-17T07:33:00Z</dcterms:modified>
  <dc:title>加强工程安全管理的措施</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BD5017D23FE94D8C9A1044E61B731755</vt:lpwstr>
  </property>
  <property fmtid="{D5CDD505-2E9C-101B-9397-08002B2CF9AE}" pid="4" name="KSOTemplateDocerSaveRecord">
    <vt:lpwstr>eyJoZGlkIjoiYjk4M2NjZTEzZWViYWFmNDJmYmMwMmY2ZTljMDIyOTMiLCJ1c2VySWQiOiIxNDE1MDY3Mzc5In0=</vt:lpwstr>
  </property>
</Properties>
</file>