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DB3A1CC" w14:textId="77777777" w:rsidR="00AB6746" w:rsidRDefault="00256409">
      <w:pPr>
        <w:pStyle w:val="1"/>
        <w:jc w:val="center"/>
      </w:pPr>
      <w:bookmarkStart w:id="0" w:name="_Toc0"/>
      <w:r>
        <w:rPr>
          <w:rFonts w:ascii="宋体" w:eastAsia="宋体" w:hint="eastAsia"/>
          <w:color w:val="000000"/>
          <w:shd w:val="clear" w:color="auto" w:fill="FFFFFF"/>
        </w:rPr>
        <w:t>钢结构防火计算书</w:t>
      </w:r>
      <w:bookmarkEnd w:id="0"/>
    </w:p>
    <w:p w14:paraId="5F52EB58" w14:textId="77777777" w:rsidR="00AB6746" w:rsidRDefault="00256409">
      <w:pPr>
        <w:pStyle w:val="2"/>
        <w:jc w:val="left"/>
      </w:pPr>
      <w:bookmarkStart w:id="1" w:name="_Toc1"/>
      <w:r>
        <w:rPr>
          <w:rFonts w:ascii="宋体" w:eastAsia="宋体" w:hint="eastAsia"/>
          <w:color w:val="000000"/>
          <w:shd w:val="clear" w:color="auto" w:fill="FFFFFF"/>
        </w:rPr>
        <w:t>一、防火设计依据</w:t>
      </w:r>
      <w:r>
        <w:rPr>
          <w:rFonts w:ascii="宋体" w:eastAsia="宋体" w:hint="eastAsia"/>
          <w:color w:val="000000"/>
          <w:shd w:val="clear" w:color="auto" w:fill="FFFFFF"/>
        </w:rPr>
        <w:t>:</w:t>
      </w:r>
      <w:bookmarkEnd w:id="1"/>
    </w:p>
    <w:p w14:paraId="0B1B7FD0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1.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《钢结构防火涂料》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(GB 14907-2018)</w:t>
      </w:r>
    </w:p>
    <w:p w14:paraId="3903172B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《建筑钢结构防火技术规范》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(GB 51249-2017)</w:t>
      </w:r>
    </w:p>
    <w:p w14:paraId="469CA6D6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《钢结构防火涂料应用技术规范》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(CECS 24:90)</w:t>
      </w:r>
    </w:p>
    <w:p w14:paraId="02B92DE5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4.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《建筑设计防火规范》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(GB 50016-2014) (2018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修订版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)</w:t>
      </w:r>
    </w:p>
    <w:p w14:paraId="15226EFB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5.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《钢结构工程施工质量验收规范》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(GB 50205-2001)</w:t>
      </w:r>
    </w:p>
    <w:p w14:paraId="65083CEB" w14:textId="77777777" w:rsidR="00AB6746" w:rsidRDefault="00256409">
      <w:pPr>
        <w:pStyle w:val="2"/>
        <w:jc w:val="left"/>
      </w:pPr>
      <w:bookmarkStart w:id="2" w:name="_Toc2"/>
      <w:r>
        <w:rPr>
          <w:rFonts w:ascii="宋体" w:eastAsia="宋体" w:hint="eastAsia"/>
          <w:color w:val="000000"/>
          <w:shd w:val="clear" w:color="auto" w:fill="FFFFFF"/>
        </w:rPr>
        <w:t>二、钢构件防火设计</w:t>
      </w:r>
      <w:bookmarkEnd w:id="2"/>
    </w:p>
    <w:p w14:paraId="0815FAE3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1.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建筑防火等级为二级</w:t>
      </w:r>
    </w:p>
    <w:p w14:paraId="4E467F13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防火设计内容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钢构件的耐火设计、防火涂料类型及热物理指标和涂层厚度，应按下表执行。</w:t>
      </w:r>
    </w:p>
    <w:p w14:paraId="0185E6FB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说明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默认给出每层各防火类型材料的最大值构件，完整信息需勾选详细构件统计查看。</w:t>
      </w:r>
    </w:p>
    <w:p w14:paraId="08FACDF4" w14:textId="77777777" w:rsidR="00AB6746" w:rsidRDefault="00256409">
      <w:pPr>
        <w:spacing w:beforeLines="113" w:before="352" w:afterLines="113" w:after="352" w:line="113" w:lineRule="auto"/>
        <w:jc w:val="center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层</w:t>
      </w:r>
    </w:p>
    <w:tbl>
      <w:tblPr>
        <w:tblW w:w="10206" w:type="dxa"/>
        <w:jc w:val="center"/>
        <w:tbl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14" w:space="0" w:color="auto"/>
          <w:insideV w:val="single" w:sz="14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1701"/>
        <w:gridCol w:w="1701"/>
        <w:gridCol w:w="1984"/>
        <w:gridCol w:w="2268"/>
      </w:tblGrid>
      <w:tr w:rsidR="00AB6746" w14:paraId="32568CDC" w14:textId="77777777">
        <w:trPr>
          <w:trHeight w:val="567"/>
          <w:tblHeader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8BBC7E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构件类别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F0F272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编号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91FBD6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耐火极限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(h)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76F8B7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防火涂料类型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305241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涂层厚度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(mm)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2D0764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等效热阻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(m2.C/W)</w:t>
            </w:r>
          </w:p>
        </w:tc>
      </w:tr>
      <w:tr w:rsidR="00AB6746" w14:paraId="078A5A0C" w14:textId="77777777">
        <w:trPr>
          <w:trHeight w:val="567"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3D66B28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钢梁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DCDB3D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ED36AFB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FBC0562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膨胀型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B277784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420C09E" w14:textId="174E3061" w:rsidR="00AB6746" w:rsidRDefault="00723ACF">
            <w:pPr>
              <w:jc w:val="center"/>
            </w:pPr>
            <w:r>
              <w:rPr>
                <w:rFonts w:ascii="仿宋" w:eastAsia="仿宋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:rsidR="00AB6746" w14:paraId="2022641C" w14:textId="77777777">
        <w:trPr>
          <w:trHeight w:val="567"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61AD405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钢柱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8B5753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2A1EAA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B52C1E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非膨胀型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6A4DFE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15.68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E3EF3FA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</w:tbl>
    <w:p w14:paraId="6267590A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构件类型统计的涂料表面积如下表</w:t>
      </w:r>
    </w:p>
    <w:tbl>
      <w:tblPr>
        <w:tblW w:w="7427" w:type="dxa"/>
        <w:jc w:val="center"/>
        <w:tbl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14" w:space="0" w:color="auto"/>
          <w:insideV w:val="single" w:sz="14" w:space="0" w:color="auto"/>
        </w:tblBorders>
        <w:tblLook w:val="04A0" w:firstRow="1" w:lastRow="0" w:firstColumn="1" w:lastColumn="0" w:noHBand="0" w:noVBand="1"/>
      </w:tblPr>
      <w:tblGrid>
        <w:gridCol w:w="1135"/>
        <w:gridCol w:w="963"/>
        <w:gridCol w:w="2381"/>
        <w:gridCol w:w="2948"/>
      </w:tblGrid>
      <w:tr w:rsidR="00AB6746" w14:paraId="6FCCA8D4" w14:textId="77777777">
        <w:trPr>
          <w:trHeight w:val="567"/>
          <w:tblHeader/>
          <w:jc w:val="center"/>
        </w:trPr>
        <w:tc>
          <w:tcPr>
            <w:tcW w:w="2097" w:type="dxa"/>
            <w:gridSpan w:val="2"/>
            <w:shd w:val="clear" w:color="auto" w:fill="FFFFFF"/>
            <w:vAlign w:val="center"/>
          </w:tcPr>
          <w:p w14:paraId="31CFD0CA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构件类型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0C89AE67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防火涂料类型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18F450CE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总表面积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(m2)</w:t>
            </w:r>
          </w:p>
        </w:tc>
      </w:tr>
      <w:tr w:rsidR="00AB6746" w14:paraId="656E0621" w14:textId="77777777">
        <w:trPr>
          <w:trHeight w:val="567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975BD7C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柱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4F30A3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层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0ADD08AD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非膨胀型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5CA29D01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67.71</w:t>
            </w:r>
          </w:p>
        </w:tc>
      </w:tr>
      <w:tr w:rsidR="00AB6746" w14:paraId="6FF6D2D9" w14:textId="77777777">
        <w:trPr>
          <w:trHeight w:val="567"/>
          <w:jc w:val="center"/>
        </w:trPr>
        <w:tc>
          <w:tcPr>
            <w:tcW w:w="1134" w:type="dxa"/>
            <w:vMerge/>
            <w:shd w:val="clear" w:color="auto" w:fill="FFFFFF"/>
          </w:tcPr>
          <w:p w14:paraId="48EE06DD" w14:textId="77777777" w:rsidR="00AB6746" w:rsidRDefault="00AB6746">
            <w:pPr>
              <w:jc w:val="left"/>
            </w:pPr>
          </w:p>
        </w:tc>
        <w:tc>
          <w:tcPr>
            <w:tcW w:w="963" w:type="dxa"/>
            <w:shd w:val="clear" w:color="auto" w:fill="FFFFFF"/>
            <w:vAlign w:val="center"/>
          </w:tcPr>
          <w:p w14:paraId="6E8A352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全楼</w:t>
            </w:r>
          </w:p>
        </w:tc>
        <w:tc>
          <w:tcPr>
            <w:tcW w:w="2381" w:type="dxa"/>
            <w:shd w:val="clear" w:color="auto" w:fill="FFFFFF"/>
          </w:tcPr>
          <w:p w14:paraId="4727314D" w14:textId="77777777" w:rsidR="00AB6746" w:rsidRDefault="00256409">
            <w:pPr>
              <w:jc w:val="left"/>
            </w:pPr>
            <w:r>
              <w:rPr>
                <w:rFonts w:ascii="宋体" w:eastAsia="宋体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459B401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67.71</w:t>
            </w:r>
          </w:p>
        </w:tc>
      </w:tr>
      <w:tr w:rsidR="00AB6746" w14:paraId="31CFA629" w14:textId="77777777">
        <w:trPr>
          <w:trHeight w:val="567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B03D1E1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梁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C97991B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层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2ED957BB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膨胀型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6307803E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118.21</w:t>
            </w:r>
          </w:p>
        </w:tc>
      </w:tr>
      <w:tr w:rsidR="00AB6746" w14:paraId="1517B0DC" w14:textId="77777777">
        <w:trPr>
          <w:trHeight w:val="567"/>
          <w:jc w:val="center"/>
        </w:trPr>
        <w:tc>
          <w:tcPr>
            <w:tcW w:w="1134" w:type="dxa"/>
            <w:vMerge/>
            <w:shd w:val="clear" w:color="auto" w:fill="FFFFFF"/>
          </w:tcPr>
          <w:p w14:paraId="0626525B" w14:textId="77777777" w:rsidR="00AB6746" w:rsidRDefault="00AB6746">
            <w:pPr>
              <w:jc w:val="left"/>
            </w:pPr>
          </w:p>
        </w:tc>
        <w:tc>
          <w:tcPr>
            <w:tcW w:w="963" w:type="dxa"/>
            <w:shd w:val="clear" w:color="auto" w:fill="FFFFFF"/>
            <w:vAlign w:val="center"/>
          </w:tcPr>
          <w:p w14:paraId="07323046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全楼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2B729E4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672F1A7A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118.21</w:t>
            </w:r>
          </w:p>
        </w:tc>
      </w:tr>
      <w:tr w:rsidR="00AB6746" w14:paraId="3172F97F" w14:textId="77777777">
        <w:trPr>
          <w:trHeight w:val="567"/>
          <w:jc w:val="center"/>
        </w:trPr>
        <w:tc>
          <w:tcPr>
            <w:tcW w:w="2097" w:type="dxa"/>
            <w:gridSpan w:val="2"/>
            <w:shd w:val="clear" w:color="auto" w:fill="FFFFFF"/>
            <w:vAlign w:val="center"/>
          </w:tcPr>
          <w:p w14:paraId="48E8A90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全楼总计</w:t>
            </w:r>
          </w:p>
        </w:tc>
        <w:tc>
          <w:tcPr>
            <w:tcW w:w="2381" w:type="dxa"/>
            <w:shd w:val="clear" w:color="auto" w:fill="FFFFFF"/>
            <w:vAlign w:val="center"/>
          </w:tcPr>
          <w:p w14:paraId="20A99231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48" w:type="dxa"/>
            <w:shd w:val="clear" w:color="auto" w:fill="FFFFFF"/>
            <w:vAlign w:val="center"/>
          </w:tcPr>
          <w:p w14:paraId="245A2610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185.92</w:t>
            </w:r>
          </w:p>
        </w:tc>
      </w:tr>
    </w:tbl>
    <w:p w14:paraId="22DA5421" w14:textId="77777777" w:rsidR="00AB6746" w:rsidRDefault="00256409">
      <w:pPr>
        <w:pStyle w:val="2"/>
        <w:jc w:val="left"/>
      </w:pPr>
      <w:bookmarkStart w:id="3" w:name="_Toc3"/>
      <w:r>
        <w:rPr>
          <w:rFonts w:ascii="宋体" w:eastAsia="宋体" w:hint="eastAsia"/>
          <w:color w:val="000000"/>
          <w:shd w:val="clear" w:color="auto" w:fill="FFFFFF"/>
        </w:rPr>
        <w:t>三、防火涂料技术要求</w:t>
      </w:r>
      <w:bookmarkEnd w:id="3"/>
    </w:p>
    <w:p w14:paraId="2CDA4B68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1.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非膨胀型防火涂料不应含有石棉和玻璃纤维等有害物质，不宜采用苯类溶剂类产品。</w:t>
      </w:r>
    </w:p>
    <w:p w14:paraId="4D8BB151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2.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防火涂料应具有良好的变形能力和粘结性，在任何阶段均不能开裂、空鼓和脱落，也不能有流坠和乳突现象。</w:t>
      </w:r>
    </w:p>
    <w:p w14:paraId="031E56C8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防火涂料的理化性能和热物理性能报告，应报业主和设计院结构工程师审批，确认后方可采购、施工。</w:t>
      </w:r>
    </w:p>
    <w:p w14:paraId="3DF3EEC7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4.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防火涂料应与防腐涂层、找平腻子具有相容性。</w:t>
      </w:r>
    </w:p>
    <w:p w14:paraId="521C2402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5.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防火涂料质保期不应低于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30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年，不分解，不粉化，隔热防火性能不降低。</w:t>
      </w:r>
    </w:p>
    <w:p w14:paraId="1C9E37CC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6.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非膨胀型室内防火涂料尚应满足如下要求：</w:t>
      </w:r>
    </w:p>
    <w:p w14:paraId="7CCF4321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6.1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应采用具有低碳环保性能的石膏基质防火涂料，任何耐火极限下的涂层厚度均不能低于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15mm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。</w:t>
      </w:r>
    </w:p>
    <w:p w14:paraId="364F47C5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6.2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防火涂料等效热传导系数不大于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0.08W/m.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℃，粘结强度不低于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0.08MPa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，抗压强度不低于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0.4MPa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，干密度应不大于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410Kg/m3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。</w:t>
      </w:r>
    </w:p>
    <w:p w14:paraId="1A8110EF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6.3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防火涂料进场后应按批次对性能指标进行复验，达到设计文件要求后方可施工、验收。</w:t>
      </w:r>
    </w:p>
    <w:p w14:paraId="6473556C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6.4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防火涂料采用机械喷涂工艺施工，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涂层厚度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30mm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及以下，连续喷涂，一次成型；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45mm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以下分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2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道分层施工，第一遍厚度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8~12mm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，余下厚度第二遍完成，两遍施工间隔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15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分钟。</w:t>
      </w:r>
    </w:p>
    <w:p w14:paraId="37A0FDB5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7.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非膨胀型室外防火涂料尚应满足如下要求：</w:t>
      </w:r>
    </w:p>
    <w:p w14:paraId="3631CAB1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7.1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应采用具有地碳环保性能的水泥基质防火涂料，任何耐火极限下的涂层厚度均不能低于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15mm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。</w:t>
      </w:r>
    </w:p>
    <w:p w14:paraId="2F39BC26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7.2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防火涂料粘结强度等效热传导系数不大于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0.08W/m.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℃，不低于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0.2MPa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，抗压强度不低于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1.5MPa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，干密度不大于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620Kg/m3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。</w:t>
      </w:r>
    </w:p>
    <w:p w14:paraId="54F3BB18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8.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膨胀型防火涂料尚应满足如下要求：</w:t>
      </w:r>
    </w:p>
    <w:p w14:paraId="255D77E3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8.1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应通过公安部消防产品按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GB 14907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标准的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3C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认证。</w:t>
      </w:r>
    </w:p>
    <w:p w14:paraId="0DCD1616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8.2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耐久年限应不低于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20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年，不应含卤素，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VOC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含量为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0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，无污染。</w:t>
      </w:r>
    </w:p>
    <w:p w14:paraId="0FD4FC92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8.3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防火涂料的附着力不应小于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1.5MPa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，任何耐火极限下的涂层厚度均不能低于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1.5mm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；等效热阻应满足下表要求：</w:t>
      </w:r>
    </w:p>
    <w:tbl>
      <w:tblPr>
        <w:tblW w:w="7427" w:type="dxa"/>
        <w:jc w:val="center"/>
        <w:tbl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14" w:space="0" w:color="auto"/>
          <w:insideV w:val="single" w:sz="14" w:space="0" w:color="auto"/>
        </w:tblBorders>
        <w:tblLook w:val="04A0" w:firstRow="1" w:lastRow="0" w:firstColumn="1" w:lastColumn="0" w:noHBand="0" w:noVBand="1"/>
      </w:tblPr>
      <w:tblGrid>
        <w:gridCol w:w="1427"/>
        <w:gridCol w:w="2000"/>
        <w:gridCol w:w="2000"/>
        <w:gridCol w:w="2000"/>
      </w:tblGrid>
      <w:tr w:rsidR="00AB6746" w14:paraId="38BA041D" w14:textId="77777777">
        <w:trPr>
          <w:trHeight w:val="567"/>
          <w:tblHeader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78EA37D0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分项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C6C3167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最小厚度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DB02C95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1/4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厚度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AAB4D1D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1/2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厚度</w:t>
            </w:r>
          </w:p>
        </w:tc>
      </w:tr>
      <w:tr w:rsidR="00AB6746" w14:paraId="437FA9E8" w14:textId="77777777">
        <w:trPr>
          <w:trHeight w:val="567"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533C9750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涂层厚度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 xml:space="preserve"> mm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685BC8A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9EEA39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28C82B8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</w:tr>
      <w:tr w:rsidR="00AB6746" w14:paraId="7C1105FD" w14:textId="77777777">
        <w:trPr>
          <w:trHeight w:val="567"/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3A5F3B0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等效热阻</w:t>
            </w: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 xml:space="preserve"> m2.C/W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0826893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5F2ADBE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FFF96F" w14:textId="77777777" w:rsidR="00AB6746" w:rsidRDefault="00256409">
            <w:pPr>
              <w:jc w:val="center"/>
            </w:pPr>
            <w:r>
              <w:rPr>
                <w:rFonts w:ascii="仿宋" w:eastAsia="仿宋" w:hint="eastAsia"/>
                <w:color w:val="000000"/>
                <w:sz w:val="24"/>
                <w:szCs w:val="24"/>
                <w:shd w:val="clear" w:color="auto" w:fill="FFFFFF"/>
              </w:rPr>
              <w:t>——</w:t>
            </w:r>
          </w:p>
        </w:tc>
      </w:tr>
    </w:tbl>
    <w:p w14:paraId="341FC5FA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8.4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防火涂料与防腐漆和面漆应具有材料和耐火性能相容性，面漆不能过厚过硬。防腐漆与防火涂料组成的配套系统应通过循环腐蚀测试。</w:t>
      </w:r>
    </w:p>
    <w:p w14:paraId="41FAE674" w14:textId="77777777" w:rsidR="00AB6746" w:rsidRDefault="00256409">
      <w:pPr>
        <w:jc w:val="left"/>
      </w:pP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 xml:space="preserve">  8.5  </w:t>
      </w:r>
      <w:r>
        <w:rPr>
          <w:rFonts w:ascii="宋体" w:eastAsia="宋体" w:hint="eastAsia"/>
          <w:color w:val="000000"/>
          <w:sz w:val="24"/>
          <w:szCs w:val="24"/>
          <w:shd w:val="clear" w:color="auto" w:fill="FFFFFF"/>
        </w:rPr>
        <w:t>体积固体分应满足相应要求。体积固体分是指油漆中的成膜物质的体积占总体积的百分比，数值上等于干膜厚度与湿膜厚度的比值。</w:t>
      </w:r>
    </w:p>
    <w:sectPr w:rsidR="00AB6746">
      <w:pgSz w:w="23814" w:h="16839" w:orient="landscape" w:code="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C4A3B" w14:textId="77777777" w:rsidR="00256409" w:rsidRDefault="00256409">
      <w:r>
        <w:separator/>
      </w:r>
    </w:p>
  </w:endnote>
  <w:endnote w:type="continuationSeparator" w:id="0">
    <w:p w14:paraId="52C37F36" w14:textId="77777777" w:rsidR="00256409" w:rsidRDefault="0025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C856F" w14:textId="77777777" w:rsidR="00256409" w:rsidRDefault="00256409">
      <w:r>
        <w:separator/>
      </w:r>
    </w:p>
  </w:footnote>
  <w:footnote w:type="continuationSeparator" w:id="0">
    <w:p w14:paraId="5081D959" w14:textId="77777777" w:rsidR="00256409" w:rsidRDefault="00256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746"/>
    <w:rsid w:val="00256409"/>
    <w:rsid w:val="00723ACF"/>
    <w:rsid w:val="00AB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7F1545F7"/>
  <w15:docId w15:val="{88D934C1-68E6-4026-96EC-D8C56132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1DD"/>
    <w:rPr>
      <w:sz w:val="18"/>
      <w:szCs w:val="18"/>
    </w:rPr>
  </w:style>
  <w:style w:type="table" w:customStyle="1" w:styleId="a5">
    <w:name w:val="三线式表格(三条线都为细线)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0">
    <w:name w:val="三线式表格(三条线都为细线)_表头为0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21">
    <w:name w:val="三线式表格(三条线都为细线)_表头为2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31">
    <w:name w:val="三线式表格(三条线都为细线)_表头为3"/>
    <w:basedOn w:val="a1"/>
    <w:uiPriority w:val="99"/>
    <w:qFormat/>
    <w:rsid w:val="00C93F0B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a6">
    <w:name w:val="三线式表格(顶底线粗，中线细)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00">
    <w:name w:val="三线式表格(顶底线粗，中线细)_表头为0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2">
    <w:name w:val="三线式表格(顶底线粗，中线细)_表头为2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32">
    <w:name w:val="三线式表格(顶底线粗，中线细)_表头为3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a7">
    <w:name w:val="表头及底线粗，内线细，无两侧边框"/>
    <w:basedOn w:val="a1"/>
    <w:uiPriority w:val="99"/>
    <w:qFormat/>
    <w:rsid w:val="00E470B2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01">
    <w:name w:val="表头及底线粗，内线细，无两侧边框_表头为0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3">
    <w:name w:val="表头及底线粗，内线细，无两侧边框_表头为2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33">
    <w:name w:val="表头及底线粗，内线细，无两侧边框_表头为3"/>
    <w:basedOn w:val="a1"/>
    <w:uiPriority w:val="99"/>
    <w:qFormat/>
    <w:rsid w:val="009A72F5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a8">
    <w:name w:val="表头及边框粗，内线细"/>
    <w:basedOn w:val="a1"/>
    <w:uiPriority w:val="99"/>
    <w:qFormat/>
    <w:rsid w:val="00BF7B7A"/>
    <w:tblPr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02">
    <w:name w:val="表头及边框粗，内线细_表头为0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24">
    <w:name w:val="表头及边框粗，内线细_表头为2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34">
    <w:name w:val="表头及边框粗，内线细_表头为3"/>
    <w:basedOn w:val="a1"/>
    <w:uiPriority w:val="99"/>
    <w:qFormat/>
    <w:rsid w:val="002A2B92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a9">
    <w:name w:val="双外轮廓线式，外粗，内细 (表格内部线细)"/>
    <w:basedOn w:val="a1"/>
    <w:uiPriority w:val="99"/>
    <w:qFormat/>
    <w:rsid w:val="00AC40EA"/>
    <w:tblPr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a">
    <w:name w:val="双外轮廓线式，外细，内粗 (表格内部线细)"/>
    <w:basedOn w:val="a1"/>
    <w:uiPriority w:val="99"/>
    <w:qFormat/>
    <w:rsid w:val="00656315"/>
    <w:tblPr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b">
    <w:name w:val="双外轮廓线式，外细，内细 (表格内部线细)"/>
    <w:basedOn w:val="a1"/>
    <w:uiPriority w:val="99"/>
    <w:qFormat/>
    <w:rsid w:val="00656315"/>
    <w:tblPr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c">
    <w:name w:val="三外轮廓线式，外细，中粗，内细 (表格内部线细)"/>
    <w:basedOn w:val="a1"/>
    <w:uiPriority w:val="99"/>
    <w:qFormat/>
    <w:rsid w:val="00656315"/>
    <w:tblPr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d">
    <w:name w:val="三维式外轮廓线(表格内部线细)"/>
    <w:basedOn w:val="a1"/>
    <w:uiPriority w:val="99"/>
    <w:qFormat/>
    <w:rsid w:val="00656315"/>
    <w:tblPr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e">
    <w:name w:val="无线条"/>
    <w:basedOn w:val="a1"/>
    <w:uiPriority w:val="99"/>
    <w:rsid w:val="00F57BE3"/>
    <w:tblPr/>
  </w:style>
  <w:style w:type="paragraph" w:styleId="af">
    <w:name w:val="footer"/>
    <w:basedOn w:val="a"/>
    <w:link w:val="af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8511DD"/>
    <w:rPr>
      <w:sz w:val="18"/>
      <w:szCs w:val="18"/>
    </w:rPr>
  </w:style>
  <w:style w:type="table" w:styleId="af1">
    <w:name w:val="Table Grid"/>
    <w:basedOn w:val="a1"/>
    <w:uiPriority w:val="39"/>
    <w:rsid w:val="0015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2E599A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E599A"/>
    <w:rPr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5">
    <w:name w:val="标题 字符"/>
    <w:basedOn w:val="a0"/>
    <w:link w:val="af4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f6">
    <w:name w:val="Subtitle"/>
    <w:basedOn w:val="a"/>
    <w:next w:val="a"/>
    <w:link w:val="af7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f7">
    <w:name w:val="副标题 字符"/>
    <w:basedOn w:val="a0"/>
    <w:link w:val="af6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"/>
    <w:next w:val="a"/>
    <w:autoRedefine/>
    <w:uiPriority w:val="39"/>
    <w:unhideWhenUsed/>
    <w:rsid w:val="00AD4F42"/>
  </w:style>
  <w:style w:type="paragraph" w:styleId="TOC2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TOC4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sq</cp:lastModifiedBy>
  <cp:revision>3</cp:revision>
  <dcterms:created xsi:type="dcterms:W3CDTF">2015-03-16T03:08:00Z</dcterms:created>
  <dcterms:modified xsi:type="dcterms:W3CDTF">2020-10-10T01:55:00Z</dcterms:modified>
</cp:coreProperties>
</file>