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b/>
          <w:bCs/>
          <w:sz w:val="36"/>
          <w:szCs w:val="36"/>
        </w:rPr>
      </w:pPr>
      <w:r>
        <w:rPr>
          <w:rFonts w:hint="eastAsia" w:ascii="方正小标宋简体" w:eastAsia="方正小标宋简体"/>
          <w:b/>
          <w:bCs/>
          <w:sz w:val="36"/>
          <w:szCs w:val="36"/>
        </w:rPr>
        <w:t>成都国万科技服务有限公司</w:t>
      </w:r>
    </w:p>
    <w:p>
      <w:pPr>
        <w:jc w:val="center"/>
        <w:rPr>
          <w:rFonts w:ascii="方正小标宋简体" w:eastAsia="方正小标宋简体"/>
          <w:b/>
          <w:bCs/>
          <w:sz w:val="36"/>
          <w:szCs w:val="36"/>
        </w:rPr>
      </w:pPr>
      <w:r>
        <w:rPr>
          <w:rFonts w:hint="eastAsia" w:ascii="方正小标宋简体" w:eastAsia="方正小标宋简体"/>
          <w:b/>
          <w:bCs/>
          <w:sz w:val="36"/>
          <w:szCs w:val="36"/>
        </w:rPr>
        <w:t>2023-2024年电脑采购询价公告</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eastAsia="仿宋_GB2312"/>
          <w:sz w:val="28"/>
          <w:szCs w:val="28"/>
        </w:rPr>
      </w:pPr>
      <w:r>
        <w:rPr>
          <w:rFonts w:hint="eastAsia" w:ascii="仿宋_GB2312" w:eastAsia="仿宋_GB2312"/>
          <w:sz w:val="28"/>
          <w:szCs w:val="28"/>
        </w:rPr>
        <w:t>成都国万科技服务有限公司（以下简称“采购人”）现就以下项目的采购进行询价，邀请合格的供应商提交询价文件，现将有关事项公告如下：</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jc w:val="left"/>
        <w:textAlignment w:val="auto"/>
        <w:rPr>
          <w:rFonts w:ascii="仿宋_GB2312" w:eastAsia="仿宋_GB2312"/>
          <w:b/>
          <w:bCs/>
          <w:sz w:val="28"/>
          <w:szCs w:val="28"/>
        </w:rPr>
      </w:pPr>
      <w:r>
        <w:rPr>
          <w:rFonts w:hint="eastAsia" w:ascii="仿宋_GB2312" w:eastAsia="仿宋_GB2312"/>
          <w:b/>
          <w:bCs/>
          <w:sz w:val="28"/>
          <w:szCs w:val="28"/>
        </w:rPr>
        <w:t>供应商须知</w:t>
      </w:r>
    </w:p>
    <w:p>
      <w:pPr>
        <w:pStyle w:val="9"/>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jc w:val="left"/>
        <w:textAlignment w:val="auto"/>
        <w:rPr>
          <w:rFonts w:ascii="仿宋_GB2312" w:eastAsia="仿宋_GB2312"/>
          <w:sz w:val="28"/>
          <w:szCs w:val="28"/>
        </w:rPr>
      </w:pPr>
      <w:r>
        <w:rPr>
          <w:rFonts w:ascii="仿宋_GB2312" w:eastAsia="仿宋_GB2312"/>
          <w:sz w:val="28"/>
          <w:szCs w:val="28"/>
        </w:rPr>
        <w:t>被询价的供应商必须是有能力提供本项目所需货物和服务的企业法人</w:t>
      </w:r>
      <w:r>
        <w:rPr>
          <w:rFonts w:hint="eastAsia" w:ascii="仿宋_GB2312" w:eastAsia="仿宋_GB2312"/>
          <w:sz w:val="28"/>
          <w:szCs w:val="28"/>
        </w:rPr>
        <w:t>，且取得品牌授权证明</w:t>
      </w:r>
      <w:r>
        <w:rPr>
          <w:rFonts w:ascii="仿宋_GB2312" w:eastAsia="仿宋_GB2312"/>
          <w:sz w:val="28"/>
          <w:szCs w:val="28"/>
        </w:rPr>
        <w:t>。</w:t>
      </w:r>
    </w:p>
    <w:p>
      <w:pPr>
        <w:pStyle w:val="9"/>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jc w:val="left"/>
        <w:textAlignment w:val="auto"/>
        <w:rPr>
          <w:rFonts w:ascii="仿宋_GB2312" w:eastAsia="仿宋_GB2312"/>
          <w:sz w:val="28"/>
          <w:szCs w:val="28"/>
        </w:rPr>
      </w:pPr>
      <w:r>
        <w:rPr>
          <w:rFonts w:ascii="仿宋_GB2312" w:eastAsia="仿宋_GB2312"/>
          <w:sz w:val="28"/>
          <w:szCs w:val="28"/>
        </w:rPr>
        <w:t>供应商所投产品必须是营业执照经营许可范围内的。</w:t>
      </w:r>
    </w:p>
    <w:p>
      <w:pPr>
        <w:pStyle w:val="9"/>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jc w:val="left"/>
        <w:textAlignment w:val="auto"/>
        <w:rPr>
          <w:rFonts w:ascii="仿宋_GB2312" w:eastAsia="仿宋_GB2312"/>
          <w:sz w:val="28"/>
          <w:szCs w:val="28"/>
        </w:rPr>
      </w:pPr>
      <w:r>
        <w:rPr>
          <w:rFonts w:ascii="仿宋_GB2312" w:eastAsia="仿宋_GB2312"/>
          <w:sz w:val="28"/>
          <w:szCs w:val="28"/>
        </w:rPr>
        <w:t>供应商应就采购人清单的技术支持与售后服务做出书面承诺</w:t>
      </w:r>
      <w:r>
        <w:rPr>
          <w:rFonts w:hint="eastAsia" w:ascii="仿宋_GB2312" w:eastAsia="仿宋_GB2312"/>
          <w:sz w:val="28"/>
          <w:szCs w:val="28"/>
        </w:rPr>
        <w:t>，并且提供三年期内上门服务。</w:t>
      </w:r>
    </w:p>
    <w:p>
      <w:pPr>
        <w:pStyle w:val="9"/>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jc w:val="left"/>
        <w:textAlignment w:val="auto"/>
        <w:rPr>
          <w:rFonts w:ascii="仿宋_GB2312" w:eastAsia="仿宋_GB2312"/>
          <w:sz w:val="28"/>
          <w:szCs w:val="28"/>
        </w:rPr>
      </w:pPr>
      <w:r>
        <w:rPr>
          <w:rFonts w:ascii="仿宋_GB2312" w:eastAsia="仿宋_GB2312"/>
          <w:sz w:val="28"/>
          <w:szCs w:val="28"/>
        </w:rPr>
        <w:t>供应商所报价产品必须符合本次采购要求，所供产品必须符合国家和行业有关标准，保证原产正品供货，提供相关资料、说明书、配件等。</w:t>
      </w:r>
    </w:p>
    <w:p>
      <w:pPr>
        <w:pStyle w:val="9"/>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jc w:val="left"/>
        <w:textAlignment w:val="auto"/>
        <w:rPr>
          <w:rFonts w:ascii="仿宋_GB2312" w:eastAsia="仿宋_GB2312"/>
          <w:sz w:val="28"/>
          <w:szCs w:val="28"/>
        </w:rPr>
      </w:pPr>
      <w:r>
        <w:rPr>
          <w:rFonts w:ascii="仿宋_GB2312" w:eastAsia="仿宋_GB2312"/>
          <w:sz w:val="28"/>
          <w:szCs w:val="28"/>
        </w:rPr>
        <w:t>供应商报价包含设备、安装、调试、运费、税费、技术服务及安装辅助材料等所有费用。</w:t>
      </w:r>
    </w:p>
    <w:p>
      <w:pPr>
        <w:pStyle w:val="9"/>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jc w:val="left"/>
        <w:textAlignment w:val="auto"/>
        <w:rPr>
          <w:rFonts w:ascii="仿宋_GB2312" w:eastAsia="仿宋_GB2312"/>
          <w:sz w:val="28"/>
          <w:szCs w:val="28"/>
        </w:rPr>
      </w:pPr>
      <w:r>
        <w:rPr>
          <w:rFonts w:ascii="仿宋_GB2312" w:eastAsia="仿宋_GB2312"/>
          <w:sz w:val="28"/>
          <w:szCs w:val="28"/>
        </w:rPr>
        <w:t>应自觉抵制采购领域商业贿赂行为。</w:t>
      </w:r>
    </w:p>
    <w:p>
      <w:pPr>
        <w:pStyle w:val="9"/>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jc w:val="left"/>
        <w:textAlignment w:val="auto"/>
        <w:rPr>
          <w:rFonts w:ascii="仿宋_GB2312" w:eastAsia="仿宋_GB2312"/>
          <w:sz w:val="28"/>
          <w:szCs w:val="28"/>
        </w:rPr>
      </w:pPr>
      <w:r>
        <w:rPr>
          <w:rFonts w:ascii="仿宋_GB2312" w:eastAsia="仿宋_GB2312"/>
          <w:sz w:val="28"/>
          <w:szCs w:val="28"/>
        </w:rPr>
        <w:t>供应商</w:t>
      </w:r>
      <w:r>
        <w:rPr>
          <w:rFonts w:hint="eastAsia" w:ascii="仿宋_GB2312" w:eastAsia="仿宋_GB2312"/>
          <w:sz w:val="28"/>
          <w:szCs w:val="28"/>
          <w:lang w:val="en-US" w:eastAsia="zh-CN"/>
        </w:rPr>
        <w:t>应</w:t>
      </w:r>
      <w:r>
        <w:rPr>
          <w:rFonts w:ascii="仿宋_GB2312" w:eastAsia="仿宋_GB2312"/>
          <w:sz w:val="28"/>
          <w:szCs w:val="28"/>
        </w:rPr>
        <w:t>开具13%税率的增值税专用发票</w:t>
      </w:r>
      <w:r>
        <w:rPr>
          <w:rFonts w:hint="eastAsia" w:ascii="仿宋_GB2312" w:eastAsia="仿宋_GB2312"/>
          <w:sz w:val="28"/>
          <w:szCs w:val="28"/>
          <w:lang w:eastAsia="zh-CN"/>
        </w:rPr>
        <w:t>。</w:t>
      </w:r>
    </w:p>
    <w:p>
      <w:pPr>
        <w:pStyle w:val="9"/>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jc w:val="left"/>
        <w:textAlignment w:val="auto"/>
        <w:rPr>
          <w:rFonts w:ascii="仿宋_GB2312" w:eastAsia="仿宋_GB2312"/>
          <w:sz w:val="28"/>
          <w:szCs w:val="28"/>
        </w:rPr>
      </w:pPr>
      <w:r>
        <w:rPr>
          <w:rFonts w:ascii="仿宋_GB2312" w:eastAsia="仿宋_GB2312"/>
          <w:sz w:val="28"/>
          <w:szCs w:val="28"/>
        </w:rPr>
        <w:t>供应商如对本询价函报价，即不可撤回。</w:t>
      </w:r>
    </w:p>
    <w:p>
      <w:pPr>
        <w:keepNext w:val="0"/>
        <w:keepLines w:val="0"/>
        <w:pageBreakBefore w:val="0"/>
        <w:widowControl w:val="0"/>
        <w:kinsoku/>
        <w:wordWrap/>
        <w:overflowPunct/>
        <w:topLinePunct w:val="0"/>
        <w:autoSpaceDE/>
        <w:autoSpaceDN/>
        <w:bidi w:val="0"/>
        <w:adjustRightInd/>
        <w:snapToGrid/>
        <w:spacing w:line="560" w:lineRule="exact"/>
        <w:ind w:firstLine="492"/>
        <w:jc w:val="left"/>
        <w:textAlignment w:val="auto"/>
        <w:rPr>
          <w:rFonts w:hint="eastAsia" w:ascii="仿宋_GB2312" w:eastAsia="仿宋_GB2312"/>
          <w:sz w:val="28"/>
          <w:szCs w:val="28"/>
        </w:rPr>
      </w:pPr>
      <w:r>
        <w:rPr>
          <w:rFonts w:hint="eastAsia" w:ascii="仿宋_GB2312" w:eastAsia="仿宋_GB2312"/>
          <w:sz w:val="28"/>
          <w:szCs w:val="28"/>
        </w:rPr>
        <w:t>本项目不接受联合体投标。</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jc w:val="left"/>
        <w:textAlignment w:val="auto"/>
        <w:rPr>
          <w:rFonts w:ascii="仿宋_GB2312" w:eastAsia="仿宋_GB2312"/>
          <w:b/>
          <w:bCs/>
          <w:sz w:val="28"/>
          <w:szCs w:val="28"/>
        </w:rPr>
      </w:pPr>
      <w:r>
        <w:rPr>
          <w:rFonts w:hint="eastAsia" w:ascii="仿宋_GB2312" w:eastAsia="仿宋_GB2312"/>
          <w:b/>
          <w:bCs/>
          <w:sz w:val="28"/>
          <w:szCs w:val="28"/>
        </w:rPr>
        <w:t>询价项目情况</w:t>
      </w:r>
    </w:p>
    <w:p>
      <w:pPr>
        <w:pStyle w:val="9"/>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Chars="0"/>
        <w:jc w:val="left"/>
        <w:textAlignment w:val="auto"/>
        <w:rPr>
          <w:rFonts w:ascii="仿宋_GB2312" w:eastAsia="仿宋_GB2312"/>
          <w:sz w:val="28"/>
          <w:szCs w:val="28"/>
        </w:rPr>
      </w:pPr>
      <w:r>
        <w:rPr>
          <w:rFonts w:hint="eastAsia" w:ascii="仿宋_GB2312" w:eastAsia="仿宋_GB2312"/>
          <w:sz w:val="28"/>
          <w:szCs w:val="28"/>
        </w:rPr>
        <w:t>项目名称：</w:t>
      </w:r>
      <w:r>
        <w:rPr>
          <w:rFonts w:hint="eastAsia" w:ascii="仿宋_GB2312" w:eastAsia="仿宋_GB2312"/>
          <w:sz w:val="28"/>
          <w:szCs w:val="28"/>
          <w:lang w:val="en-US" w:eastAsia="zh-CN"/>
        </w:rPr>
        <w:t>成都国万2023-2024年度</w:t>
      </w:r>
      <w:r>
        <w:rPr>
          <w:rFonts w:hint="eastAsia" w:ascii="仿宋_GB2312" w:eastAsia="仿宋_GB2312"/>
          <w:sz w:val="28"/>
          <w:szCs w:val="28"/>
        </w:rPr>
        <w:t>电脑采购</w:t>
      </w:r>
    </w:p>
    <w:p>
      <w:pPr>
        <w:pStyle w:val="9"/>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Chars="0"/>
        <w:jc w:val="left"/>
        <w:textAlignment w:val="auto"/>
        <w:rPr>
          <w:rFonts w:ascii="仿宋_GB2312" w:eastAsia="仿宋_GB2312"/>
          <w:sz w:val="28"/>
          <w:szCs w:val="28"/>
        </w:rPr>
      </w:pPr>
      <w:r>
        <w:rPr>
          <w:rFonts w:hint="eastAsia" w:ascii="仿宋_GB2312" w:eastAsia="仿宋_GB2312"/>
          <w:sz w:val="28"/>
          <w:szCs w:val="28"/>
        </w:rPr>
        <w:t>采购内容</w:t>
      </w:r>
      <w:r>
        <w:rPr>
          <w:rFonts w:hint="eastAsia" w:ascii="仿宋_GB2312" w:eastAsia="仿宋_GB2312"/>
          <w:sz w:val="28"/>
          <w:szCs w:val="28"/>
          <w:lang w:val="en-US" w:eastAsia="zh-CN"/>
        </w:rPr>
        <w:t>及控制价</w:t>
      </w:r>
      <w:r>
        <w:rPr>
          <w:rFonts w:hint="eastAsia" w:ascii="仿宋_GB2312" w:eastAsia="仿宋_GB2312"/>
          <w:sz w:val="28"/>
          <w:szCs w:val="28"/>
        </w:rPr>
        <w:t>：</w:t>
      </w:r>
    </w:p>
    <w:tbl>
      <w:tblPr>
        <w:tblStyle w:val="4"/>
        <w:tblpPr w:leftFromText="180" w:rightFromText="180" w:vertAnchor="page" w:horzAnchor="page" w:tblpX="1405" w:tblpY="1866"/>
        <w:tblOverlap w:val="never"/>
        <w:tblW w:w="9355" w:type="dxa"/>
        <w:tblInd w:w="0" w:type="dxa"/>
        <w:tblLayout w:type="fixed"/>
        <w:tblCellMar>
          <w:top w:w="0" w:type="dxa"/>
          <w:left w:w="108" w:type="dxa"/>
          <w:bottom w:w="0" w:type="dxa"/>
          <w:right w:w="108" w:type="dxa"/>
        </w:tblCellMar>
      </w:tblPr>
      <w:tblGrid>
        <w:gridCol w:w="471"/>
        <w:gridCol w:w="1074"/>
        <w:gridCol w:w="1019"/>
        <w:gridCol w:w="4742"/>
        <w:gridCol w:w="567"/>
        <w:gridCol w:w="692"/>
        <w:gridCol w:w="790"/>
      </w:tblGrid>
      <w:tr>
        <w:tblPrEx>
          <w:tblCellMar>
            <w:top w:w="0" w:type="dxa"/>
            <w:left w:w="108" w:type="dxa"/>
            <w:bottom w:w="0" w:type="dxa"/>
            <w:right w:w="108" w:type="dxa"/>
          </w:tblCellMar>
        </w:tblPrEx>
        <w:trPr>
          <w:trHeight w:val="746" w:hRule="atLeast"/>
        </w:trPr>
        <w:tc>
          <w:tcPr>
            <w:tcW w:w="471" w:type="dxa"/>
            <w:tcBorders>
              <w:top w:val="single" w:color="auto" w:sz="4" w:space="0"/>
              <w:left w:val="single" w:color="auto" w:sz="4" w:space="0"/>
              <w:bottom w:val="single" w:color="auto" w:sz="4" w:space="0"/>
              <w:right w:val="single" w:color="auto" w:sz="4" w:space="0"/>
            </w:tcBorders>
            <w:noWrap w:val="0"/>
            <w:vAlign w:val="center"/>
          </w:tcPr>
          <w:p>
            <w:pPr>
              <w:widowControl/>
              <w:spacing w:line="340" w:lineRule="exact"/>
              <w:jc w:val="center"/>
              <w:rPr>
                <w:rFonts w:hint="eastAsia" w:ascii="宋体" w:hAnsi="宋体" w:cs="宋体"/>
                <w:b/>
                <w:bCs/>
                <w:color w:val="000000"/>
                <w:kern w:val="0"/>
                <w:szCs w:val="21"/>
              </w:rPr>
            </w:pPr>
            <w:r>
              <w:rPr>
                <w:rFonts w:hint="eastAsia" w:ascii="宋体" w:hAnsi="宋体" w:cs="宋体"/>
                <w:b/>
                <w:bCs/>
                <w:color w:val="000000"/>
                <w:kern w:val="0"/>
                <w:szCs w:val="21"/>
              </w:rPr>
              <w:t>序号</w:t>
            </w:r>
          </w:p>
        </w:tc>
        <w:tc>
          <w:tcPr>
            <w:tcW w:w="1074" w:type="dxa"/>
            <w:tcBorders>
              <w:top w:val="single" w:color="auto" w:sz="4" w:space="0"/>
              <w:left w:val="nil"/>
              <w:bottom w:val="single" w:color="auto" w:sz="4" w:space="0"/>
              <w:right w:val="single" w:color="auto" w:sz="4" w:space="0"/>
            </w:tcBorders>
            <w:noWrap w:val="0"/>
            <w:vAlign w:val="center"/>
          </w:tcPr>
          <w:p>
            <w:pPr>
              <w:widowControl/>
              <w:spacing w:line="340" w:lineRule="exact"/>
              <w:jc w:val="center"/>
              <w:rPr>
                <w:rFonts w:hint="eastAsia" w:ascii="宋体" w:hAnsi="宋体" w:cs="宋体"/>
                <w:b/>
                <w:bCs/>
                <w:color w:val="000000"/>
                <w:kern w:val="0"/>
                <w:szCs w:val="21"/>
              </w:rPr>
            </w:pPr>
            <w:r>
              <w:rPr>
                <w:rFonts w:hint="eastAsia" w:ascii="宋体" w:hAnsi="宋体" w:cs="宋体"/>
                <w:b/>
                <w:bCs/>
                <w:color w:val="000000"/>
                <w:kern w:val="0"/>
                <w:szCs w:val="21"/>
              </w:rPr>
              <w:t>设备名称</w:t>
            </w:r>
          </w:p>
        </w:tc>
        <w:tc>
          <w:tcPr>
            <w:tcW w:w="1019" w:type="dxa"/>
            <w:tcBorders>
              <w:top w:val="single" w:color="auto" w:sz="4" w:space="0"/>
              <w:left w:val="nil"/>
              <w:bottom w:val="single" w:color="auto" w:sz="4" w:space="0"/>
              <w:right w:val="single" w:color="auto" w:sz="4" w:space="0"/>
            </w:tcBorders>
            <w:noWrap w:val="0"/>
            <w:vAlign w:val="center"/>
          </w:tcPr>
          <w:p>
            <w:pPr>
              <w:widowControl/>
              <w:spacing w:line="340" w:lineRule="exact"/>
              <w:jc w:val="center"/>
              <w:rPr>
                <w:rFonts w:hint="eastAsia" w:ascii="宋体" w:hAnsi="宋体" w:cs="宋体"/>
                <w:b/>
                <w:bCs/>
                <w:color w:val="000000"/>
                <w:kern w:val="0"/>
                <w:szCs w:val="21"/>
              </w:rPr>
            </w:pPr>
            <w:r>
              <w:rPr>
                <w:rFonts w:hint="eastAsia" w:ascii="宋体" w:hAnsi="宋体" w:cs="宋体"/>
                <w:b/>
                <w:bCs/>
                <w:color w:val="000000"/>
                <w:kern w:val="0"/>
                <w:szCs w:val="21"/>
              </w:rPr>
              <w:t>品牌型号</w:t>
            </w:r>
          </w:p>
        </w:tc>
        <w:tc>
          <w:tcPr>
            <w:tcW w:w="4742" w:type="dxa"/>
            <w:tcBorders>
              <w:top w:val="single" w:color="auto" w:sz="4" w:space="0"/>
              <w:left w:val="nil"/>
              <w:bottom w:val="single" w:color="auto" w:sz="4" w:space="0"/>
              <w:right w:val="single" w:color="auto" w:sz="4" w:space="0"/>
            </w:tcBorders>
            <w:noWrap w:val="0"/>
            <w:vAlign w:val="center"/>
          </w:tcPr>
          <w:p>
            <w:pPr>
              <w:widowControl/>
              <w:spacing w:line="340" w:lineRule="exact"/>
              <w:jc w:val="center"/>
              <w:rPr>
                <w:rFonts w:hint="eastAsia" w:ascii="宋体" w:hAnsi="宋体" w:cs="宋体"/>
                <w:b/>
                <w:bCs/>
                <w:color w:val="000000"/>
                <w:kern w:val="0"/>
                <w:szCs w:val="21"/>
              </w:rPr>
            </w:pPr>
            <w:r>
              <w:rPr>
                <w:rFonts w:hint="eastAsia" w:ascii="宋体" w:hAnsi="宋体" w:cs="宋体"/>
                <w:b/>
                <w:bCs/>
                <w:color w:val="000000"/>
                <w:kern w:val="0"/>
                <w:szCs w:val="21"/>
              </w:rPr>
              <w:t>主 要 参 数</w:t>
            </w:r>
          </w:p>
        </w:tc>
        <w:tc>
          <w:tcPr>
            <w:tcW w:w="567" w:type="dxa"/>
            <w:tcBorders>
              <w:top w:val="single" w:color="auto" w:sz="4" w:space="0"/>
              <w:left w:val="nil"/>
              <w:bottom w:val="single" w:color="auto" w:sz="4" w:space="0"/>
              <w:right w:val="single" w:color="auto" w:sz="4" w:space="0"/>
            </w:tcBorders>
            <w:noWrap w:val="0"/>
            <w:vAlign w:val="center"/>
          </w:tcPr>
          <w:p>
            <w:pPr>
              <w:widowControl/>
              <w:spacing w:line="340" w:lineRule="exact"/>
              <w:jc w:val="center"/>
              <w:rPr>
                <w:rFonts w:hint="eastAsia" w:ascii="宋体" w:hAnsi="宋体" w:cs="宋体"/>
                <w:b/>
                <w:bCs/>
                <w:color w:val="000000"/>
                <w:kern w:val="0"/>
                <w:szCs w:val="21"/>
              </w:rPr>
            </w:pPr>
            <w:r>
              <w:rPr>
                <w:rFonts w:hint="eastAsia" w:ascii="宋体" w:hAnsi="宋体" w:cs="宋体"/>
                <w:b/>
                <w:bCs/>
                <w:color w:val="000000"/>
                <w:kern w:val="0"/>
                <w:szCs w:val="21"/>
              </w:rPr>
              <w:t>单位</w:t>
            </w:r>
          </w:p>
        </w:tc>
        <w:tc>
          <w:tcPr>
            <w:tcW w:w="692" w:type="dxa"/>
            <w:tcBorders>
              <w:top w:val="single" w:color="auto" w:sz="4" w:space="0"/>
              <w:left w:val="nil"/>
              <w:bottom w:val="single" w:color="auto" w:sz="4" w:space="0"/>
              <w:right w:val="single" w:color="auto" w:sz="4" w:space="0"/>
            </w:tcBorders>
            <w:noWrap w:val="0"/>
            <w:vAlign w:val="center"/>
          </w:tcPr>
          <w:p>
            <w:pPr>
              <w:widowControl/>
              <w:spacing w:line="340" w:lineRule="exact"/>
              <w:jc w:val="center"/>
              <w:rPr>
                <w:rFonts w:hint="eastAsia" w:ascii="宋体" w:hAnsi="宋体" w:cs="宋体"/>
                <w:b/>
                <w:bCs/>
                <w:color w:val="000000"/>
                <w:kern w:val="0"/>
                <w:szCs w:val="21"/>
              </w:rPr>
            </w:pPr>
            <w:r>
              <w:rPr>
                <w:rFonts w:hint="eastAsia" w:ascii="宋体" w:hAnsi="宋体" w:cs="宋体"/>
                <w:b/>
                <w:bCs/>
                <w:color w:val="000000"/>
                <w:kern w:val="0"/>
                <w:szCs w:val="21"/>
              </w:rPr>
              <w:t>暂定数量</w:t>
            </w:r>
          </w:p>
        </w:tc>
        <w:tc>
          <w:tcPr>
            <w:tcW w:w="790" w:type="dxa"/>
            <w:tcBorders>
              <w:top w:val="single" w:color="auto" w:sz="4" w:space="0"/>
              <w:left w:val="nil"/>
              <w:bottom w:val="single" w:color="auto" w:sz="4" w:space="0"/>
              <w:right w:val="single" w:color="auto" w:sz="4" w:space="0"/>
            </w:tcBorders>
            <w:noWrap w:val="0"/>
            <w:vAlign w:val="center"/>
          </w:tcPr>
          <w:p>
            <w:pPr>
              <w:widowControl/>
              <w:spacing w:line="340" w:lineRule="exact"/>
              <w:jc w:val="center"/>
              <w:rPr>
                <w:rFonts w:hint="eastAsia" w:ascii="宋体" w:hAnsi="宋体" w:cs="宋体"/>
                <w:b/>
                <w:bCs/>
                <w:color w:val="000000"/>
                <w:kern w:val="0"/>
                <w:szCs w:val="21"/>
              </w:rPr>
            </w:pPr>
            <w:r>
              <w:rPr>
                <w:rFonts w:hint="eastAsia" w:ascii="宋体" w:hAnsi="宋体" w:cs="宋体"/>
                <w:b/>
                <w:bCs/>
                <w:color w:val="000000"/>
                <w:kern w:val="0"/>
                <w:szCs w:val="21"/>
                <w:lang w:val="en-US" w:eastAsia="zh-CN"/>
              </w:rPr>
              <w:t>最高单价限价</w:t>
            </w:r>
            <w:r>
              <w:rPr>
                <w:rFonts w:hint="eastAsia" w:ascii="宋体" w:hAnsi="宋体" w:cs="宋体"/>
                <w:b/>
                <w:bCs/>
                <w:color w:val="000000"/>
                <w:kern w:val="0"/>
                <w:szCs w:val="21"/>
              </w:rPr>
              <w:t>（元）</w:t>
            </w:r>
          </w:p>
        </w:tc>
      </w:tr>
      <w:tr>
        <w:tblPrEx>
          <w:tblCellMar>
            <w:top w:w="0" w:type="dxa"/>
            <w:left w:w="108" w:type="dxa"/>
            <w:bottom w:w="0" w:type="dxa"/>
            <w:right w:w="108" w:type="dxa"/>
          </w:tblCellMar>
        </w:tblPrEx>
        <w:trPr>
          <w:trHeight w:val="567" w:hRule="atLeast"/>
        </w:trPr>
        <w:tc>
          <w:tcPr>
            <w:tcW w:w="471" w:type="dxa"/>
            <w:tcBorders>
              <w:top w:val="nil"/>
              <w:left w:val="single" w:color="auto" w:sz="4" w:space="0"/>
              <w:bottom w:val="single" w:color="auto" w:sz="4" w:space="0"/>
              <w:right w:val="single" w:color="auto" w:sz="4" w:space="0"/>
            </w:tcBorders>
            <w:shd w:val="clear" w:color="000000" w:fill="FFFFFF"/>
            <w:noWrap w:val="0"/>
            <w:vAlign w:val="center"/>
          </w:tcPr>
          <w:p>
            <w:pPr>
              <w:widowControl/>
              <w:spacing w:line="340" w:lineRule="exact"/>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w:t>
            </w:r>
          </w:p>
        </w:tc>
        <w:tc>
          <w:tcPr>
            <w:tcW w:w="1074" w:type="dxa"/>
            <w:tcBorders>
              <w:top w:val="nil"/>
              <w:left w:val="nil"/>
              <w:bottom w:val="single" w:color="auto" w:sz="4" w:space="0"/>
              <w:right w:val="single" w:color="auto" w:sz="4" w:space="0"/>
            </w:tcBorders>
            <w:shd w:val="clear" w:color="auto" w:fill="auto"/>
            <w:noWrap w:val="0"/>
            <w:vAlign w:val="center"/>
          </w:tcPr>
          <w:p>
            <w:pPr>
              <w:widowControl/>
              <w:spacing w:line="340" w:lineRule="exact"/>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惠普商用电脑（台式机）</w:t>
            </w:r>
          </w:p>
        </w:tc>
        <w:tc>
          <w:tcPr>
            <w:tcW w:w="1019"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HP Pro Tower 288 G9 PCI DesktopPC</w:t>
            </w:r>
            <w:r>
              <w:rPr>
                <w:rFonts w:hint="eastAsia" w:ascii="仿宋_GB2312" w:hAnsi="仿宋_GB2312" w:eastAsia="仿宋_GB2312" w:cs="仿宋_GB2312"/>
                <w:color w:val="000000"/>
                <w:kern w:val="0"/>
                <w:sz w:val="21"/>
                <w:szCs w:val="21"/>
              </w:rPr>
              <w:t>/</w:t>
            </w:r>
          </w:p>
          <w:p>
            <w:pPr>
              <w:widowControl/>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 xml:space="preserve">显示器：HP </w:t>
            </w:r>
          </w:p>
          <w:p>
            <w:pPr>
              <w:widowControl/>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P27 G5</w:t>
            </w:r>
          </w:p>
          <w:p>
            <w:pPr>
              <w:widowControl/>
              <w:spacing w:line="340" w:lineRule="exact"/>
              <w:jc w:val="center"/>
              <w:rPr>
                <w:rFonts w:hint="eastAsia" w:ascii="仿宋_GB2312" w:hAnsi="仿宋_GB2312" w:eastAsia="仿宋_GB2312" w:cs="仿宋_GB2312"/>
                <w:color w:val="000000"/>
                <w:kern w:val="0"/>
                <w:sz w:val="21"/>
                <w:szCs w:val="21"/>
              </w:rPr>
            </w:pPr>
          </w:p>
        </w:tc>
        <w:tc>
          <w:tcPr>
            <w:tcW w:w="4742" w:type="dxa"/>
            <w:tcBorders>
              <w:top w:val="nil"/>
              <w:left w:val="nil"/>
              <w:bottom w:val="single" w:color="auto" w:sz="4" w:space="0"/>
              <w:right w:val="single" w:color="auto" w:sz="4" w:space="0"/>
            </w:tcBorders>
            <w:shd w:val="clear" w:color="000000" w:fill="FFFFFF"/>
            <w:noWrap w:val="0"/>
            <w:vAlign w:val="center"/>
          </w:tcPr>
          <w:p>
            <w:pPr>
              <w:widowControl/>
              <w:numPr>
                <w:ilvl w:val="0"/>
                <w:numId w:val="4"/>
              </w:numPr>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HP Pro Tower 288 G9 PCI DesktopPC/显示器:HP P27 G5 主板:INTEL H670:具有计算机系统优化机技术《已提供原厂盖章证明资料) ；</w:t>
            </w:r>
          </w:p>
          <w:p>
            <w:pPr>
              <w:widowControl/>
              <w:numPr>
                <w:ilvl w:val="0"/>
                <w:numId w:val="4"/>
              </w:numPr>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处理器:英特尔第十代酷睿处理器，New Core i5-12500主频 3.0GHz 基准频率，核心 6 核；</w:t>
            </w:r>
          </w:p>
          <w:p>
            <w:pPr>
              <w:widowControl/>
              <w:numPr>
                <w:ilvl w:val="0"/>
                <w:numId w:val="4"/>
              </w:numPr>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缓存器:16GB DDR4 2933MHz 可用内存;支持 64GDDR4 内存;支持傲腾内存；</w:t>
            </w:r>
          </w:p>
          <w:p>
            <w:pPr>
              <w:widowControl/>
              <w:numPr>
                <w:ilvl w:val="0"/>
                <w:numId w:val="4"/>
              </w:numPr>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存储器:512G PCIe NVMe SSD 硬盘；</w:t>
            </w:r>
          </w:p>
          <w:p>
            <w:pPr>
              <w:widowControl/>
              <w:numPr>
                <w:ilvl w:val="0"/>
                <w:numId w:val="4"/>
              </w:numPr>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扩展性能:原厂可按需支持 USB接口 10个;前面板6个USB3.2:2个 PCIe 插槽:可定制内置 WIFI6双频无线网卡+蓝牙;内置并行端口和 PS /2 端口；</w:t>
            </w:r>
          </w:p>
          <w:p>
            <w:pPr>
              <w:widowControl/>
              <w:numPr>
                <w:ilvl w:val="0"/>
                <w:numId w:val="4"/>
              </w:numPr>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端口及输入设备:多合一读卡器，专业编解码器，通用音频插孔(3.5 毫米，同一插孔可支持麦克风或耳机或CTIA 耳麦)，支持多音频流，内置音响系统:串行端口;HDMI 及 VGA视频可同时输出接口;USB 防水并通过 SGS 专业抗菌认证键盘鼠标；</w:t>
            </w:r>
          </w:p>
          <w:p>
            <w:pPr>
              <w:widowControl/>
              <w:numPr>
                <w:ilvl w:val="0"/>
                <w:numId w:val="4"/>
              </w:numPr>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内部供电器:能效高达 90%的180W 防雷电源；</w:t>
            </w:r>
          </w:p>
          <w:p>
            <w:pPr>
              <w:widowControl/>
              <w:numPr>
                <w:ilvl w:val="0"/>
                <w:numId w:val="4"/>
              </w:numPr>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箱体设计和安全性;考愿场地和安全稳定性机箱15.8升、尾部集成线缆固定装置机箱印制板V-0 级、外壳 HB 级:通过多向风扇技术降低运行噪音声压低于 10.5dB(已提供原广盖章证明资料),固件级别自动化可确保高效工作和减少岩机时间，自动更新和安全性检查可让电脑获得额外性能和保护;设置可启/禁用 SATA端口、串口、并口及 USB 接口，支持四合一安全锁；</w:t>
            </w:r>
          </w:p>
          <w:p>
            <w:pPr>
              <w:widowControl/>
              <w:numPr>
                <w:ilvl w:val="0"/>
                <w:numId w:val="4"/>
              </w:numPr>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应用软件:出预装正版 win11 操作系统，预装高级性能调优软件通过手机APP 即可查看管理电脑的运行情况及添加打印机打印等设备和应用，优化视频和网络访问等;具备增量拷贝、断点续传、智能故障定位、网络同传和数据传输加密功能；</w:t>
            </w:r>
          </w:p>
          <w:p>
            <w:pPr>
              <w:widowControl/>
              <w:numPr>
                <w:ilvl w:val="0"/>
                <w:numId w:val="4"/>
              </w:numPr>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bidi="ar"/>
              </w:rPr>
              <w:t>显卡及显示器: 集成显卡; 27“IPS 宽屏 16:9 LED 背光液晶显示器， VGA ,HDMI1.4</w:t>
            </w: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DP1.2</w:t>
            </w:r>
            <w:r>
              <w:rPr>
                <w:rFonts w:hint="eastAsia" w:ascii="仿宋_GB2312" w:hAnsi="仿宋_GB2312" w:eastAsia="仿宋_GB2312" w:cs="仿宋_GB2312"/>
                <w:color w:val="000000"/>
                <w:kern w:val="0"/>
                <w:sz w:val="21"/>
                <w:szCs w:val="21"/>
                <w:lang w:bidi="ar"/>
              </w:rPr>
              <w:t>接口， TUV 低蓝光认证显示器。</w:t>
            </w:r>
          </w:p>
        </w:tc>
        <w:tc>
          <w:tcPr>
            <w:tcW w:w="567" w:type="dxa"/>
            <w:tcBorders>
              <w:top w:val="nil"/>
              <w:left w:val="nil"/>
              <w:bottom w:val="single" w:color="auto" w:sz="4" w:space="0"/>
              <w:right w:val="single" w:color="auto" w:sz="4" w:space="0"/>
            </w:tcBorders>
            <w:shd w:val="clear" w:color="000000" w:fill="FFFFFF"/>
            <w:noWrap w:val="0"/>
            <w:vAlign w:val="center"/>
          </w:tcPr>
          <w:p>
            <w:pPr>
              <w:widowControl/>
              <w:spacing w:line="340" w:lineRule="exact"/>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套</w:t>
            </w:r>
          </w:p>
        </w:tc>
        <w:tc>
          <w:tcPr>
            <w:tcW w:w="692" w:type="dxa"/>
            <w:tcBorders>
              <w:top w:val="nil"/>
              <w:left w:val="nil"/>
              <w:bottom w:val="single" w:color="auto" w:sz="4" w:space="0"/>
              <w:right w:val="single" w:color="auto" w:sz="4" w:space="0"/>
            </w:tcBorders>
            <w:shd w:val="clear" w:color="auto" w:fill="auto"/>
            <w:noWrap w:val="0"/>
            <w:vAlign w:val="center"/>
          </w:tcPr>
          <w:p>
            <w:pPr>
              <w:widowControl/>
              <w:spacing w:line="340" w:lineRule="exact"/>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15</w:t>
            </w:r>
          </w:p>
        </w:tc>
        <w:tc>
          <w:tcPr>
            <w:tcW w:w="790" w:type="dxa"/>
            <w:tcBorders>
              <w:top w:val="nil"/>
              <w:left w:val="nil"/>
              <w:bottom w:val="single" w:color="auto" w:sz="4" w:space="0"/>
              <w:right w:val="single" w:color="auto" w:sz="4" w:space="0"/>
            </w:tcBorders>
            <w:shd w:val="clear" w:color="000000" w:fill="FFFFFF"/>
            <w:noWrap w:val="0"/>
            <w:vAlign w:val="center"/>
          </w:tcPr>
          <w:p>
            <w:pPr>
              <w:widowControl/>
              <w:spacing w:line="340" w:lineRule="exact"/>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4500</w:t>
            </w:r>
          </w:p>
        </w:tc>
      </w:tr>
      <w:tr>
        <w:tblPrEx>
          <w:tblCellMar>
            <w:top w:w="0" w:type="dxa"/>
            <w:left w:w="108" w:type="dxa"/>
            <w:bottom w:w="0" w:type="dxa"/>
            <w:right w:w="108" w:type="dxa"/>
          </w:tblCellMar>
        </w:tblPrEx>
        <w:trPr>
          <w:trHeight w:val="567" w:hRule="atLeast"/>
        </w:trPr>
        <w:tc>
          <w:tcPr>
            <w:tcW w:w="471" w:type="dxa"/>
            <w:tcBorders>
              <w:top w:val="nil"/>
              <w:left w:val="single" w:color="auto" w:sz="4" w:space="0"/>
              <w:bottom w:val="single" w:color="auto" w:sz="4" w:space="0"/>
              <w:right w:val="single" w:color="auto" w:sz="4" w:space="0"/>
            </w:tcBorders>
            <w:shd w:val="clear" w:color="000000" w:fill="FFFFFF"/>
            <w:noWrap w:val="0"/>
            <w:vAlign w:val="center"/>
          </w:tcPr>
          <w:p>
            <w:pPr>
              <w:widowControl/>
              <w:spacing w:line="340" w:lineRule="exact"/>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w:t>
            </w:r>
          </w:p>
        </w:tc>
        <w:tc>
          <w:tcPr>
            <w:tcW w:w="1074" w:type="dxa"/>
            <w:tcBorders>
              <w:top w:val="nil"/>
              <w:left w:val="nil"/>
              <w:bottom w:val="single" w:color="auto" w:sz="4" w:space="0"/>
              <w:right w:val="single" w:color="auto" w:sz="4" w:space="0"/>
            </w:tcBorders>
            <w:shd w:val="clear" w:color="auto" w:fill="auto"/>
            <w:noWrap w:val="0"/>
            <w:vAlign w:val="center"/>
          </w:tcPr>
          <w:p>
            <w:pPr>
              <w:widowControl/>
              <w:spacing w:line="340" w:lineRule="exact"/>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惠普商用笔记本</w:t>
            </w:r>
          </w:p>
        </w:tc>
        <w:tc>
          <w:tcPr>
            <w:tcW w:w="1019" w:type="dxa"/>
            <w:tcBorders>
              <w:top w:val="nil"/>
              <w:left w:val="nil"/>
              <w:bottom w:val="single" w:color="auto" w:sz="4" w:space="0"/>
              <w:right w:val="single" w:color="auto" w:sz="4" w:space="0"/>
            </w:tcBorders>
            <w:shd w:val="clear" w:color="000000" w:fill="FFFFFF"/>
            <w:noWrap w:val="0"/>
            <w:vAlign w:val="center"/>
          </w:tcPr>
          <w:p>
            <w:pPr>
              <w:widowControl/>
              <w:spacing w:line="340" w:lineRule="exact"/>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Probook440 G9</w:t>
            </w:r>
          </w:p>
        </w:tc>
        <w:tc>
          <w:tcPr>
            <w:tcW w:w="4742"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HP Probook440 G9</w:t>
            </w:r>
          </w:p>
          <w:p>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bidi="ar"/>
              </w:rPr>
              <w:t>商用笔记本14英寸 I5-1235U 16G</w:t>
            </w:r>
            <w:r>
              <w:rPr>
                <w:rFonts w:hint="eastAsia" w:ascii="仿宋_GB2312" w:hAnsi="仿宋_GB2312" w:eastAsia="仿宋_GB2312" w:cs="仿宋_GB2312"/>
                <w:color w:val="000000"/>
                <w:kern w:val="0"/>
                <w:sz w:val="21"/>
                <w:szCs w:val="21"/>
                <w:lang w:val="en-US" w:eastAsia="zh-CN" w:bidi="ar"/>
              </w:rPr>
              <w:t xml:space="preserve"> </w:t>
            </w:r>
            <w:r>
              <w:rPr>
                <w:rFonts w:hint="eastAsia" w:ascii="仿宋_GB2312" w:hAnsi="仿宋_GB2312" w:eastAsia="仿宋_GB2312" w:cs="仿宋_GB2312"/>
                <w:color w:val="000000"/>
                <w:kern w:val="0"/>
                <w:sz w:val="21"/>
                <w:szCs w:val="21"/>
                <w:lang w:bidi="ar"/>
              </w:rPr>
              <w:t>512GSSD 集显，出厂预装正版 win11操作系统，支持 180 度开合，1 年保修，配原厂背包、无线鼠标</w:t>
            </w:r>
            <w:r>
              <w:rPr>
                <w:rFonts w:hint="eastAsia" w:ascii="仿宋_GB2312" w:hAnsi="仿宋_GB2312" w:eastAsia="仿宋_GB2312" w:cs="仿宋_GB2312"/>
                <w:color w:val="000000"/>
                <w:kern w:val="0"/>
                <w:sz w:val="21"/>
                <w:szCs w:val="21"/>
              </w:rPr>
              <w:t xml:space="preserve"> </w:t>
            </w:r>
          </w:p>
        </w:tc>
        <w:tc>
          <w:tcPr>
            <w:tcW w:w="567" w:type="dxa"/>
            <w:tcBorders>
              <w:top w:val="nil"/>
              <w:left w:val="nil"/>
              <w:bottom w:val="single" w:color="auto" w:sz="4" w:space="0"/>
              <w:right w:val="single" w:color="auto" w:sz="4" w:space="0"/>
            </w:tcBorders>
            <w:shd w:val="clear" w:color="000000" w:fill="FFFFFF"/>
            <w:noWrap w:val="0"/>
            <w:vAlign w:val="center"/>
          </w:tcPr>
          <w:p>
            <w:pPr>
              <w:widowControl/>
              <w:spacing w:line="340" w:lineRule="exact"/>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套</w:t>
            </w:r>
          </w:p>
        </w:tc>
        <w:tc>
          <w:tcPr>
            <w:tcW w:w="692" w:type="dxa"/>
            <w:tcBorders>
              <w:top w:val="nil"/>
              <w:left w:val="nil"/>
              <w:bottom w:val="single" w:color="auto" w:sz="4" w:space="0"/>
              <w:right w:val="single" w:color="auto" w:sz="4" w:space="0"/>
            </w:tcBorders>
            <w:shd w:val="clear" w:color="auto" w:fill="auto"/>
            <w:noWrap w:val="0"/>
            <w:vAlign w:val="center"/>
          </w:tcPr>
          <w:p>
            <w:pPr>
              <w:widowControl/>
              <w:spacing w:line="340" w:lineRule="exact"/>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15</w:t>
            </w:r>
          </w:p>
        </w:tc>
        <w:tc>
          <w:tcPr>
            <w:tcW w:w="790" w:type="dxa"/>
            <w:tcBorders>
              <w:top w:val="nil"/>
              <w:left w:val="nil"/>
              <w:bottom w:val="single" w:color="auto" w:sz="4" w:space="0"/>
              <w:right w:val="single" w:color="auto" w:sz="4" w:space="0"/>
            </w:tcBorders>
            <w:shd w:val="clear" w:color="000000" w:fill="FFFFFF"/>
            <w:noWrap w:val="0"/>
            <w:vAlign w:val="center"/>
          </w:tcPr>
          <w:p>
            <w:pPr>
              <w:widowControl/>
              <w:spacing w:line="340" w:lineRule="exact"/>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4</w:t>
            </w:r>
            <w:r>
              <w:rPr>
                <w:rFonts w:hint="eastAsia" w:ascii="仿宋_GB2312" w:hAnsi="仿宋_GB2312" w:eastAsia="仿宋_GB2312" w:cs="仿宋_GB2312"/>
                <w:color w:val="000000"/>
                <w:kern w:val="0"/>
                <w:sz w:val="21"/>
                <w:szCs w:val="21"/>
                <w:lang w:val="en-US" w:eastAsia="zh-CN"/>
              </w:rPr>
              <w:t>8</w:t>
            </w:r>
            <w:r>
              <w:rPr>
                <w:rFonts w:hint="eastAsia" w:ascii="仿宋_GB2312" w:hAnsi="仿宋_GB2312" w:eastAsia="仿宋_GB2312" w:cs="仿宋_GB2312"/>
                <w:color w:val="000000"/>
                <w:kern w:val="0"/>
                <w:sz w:val="21"/>
                <w:szCs w:val="21"/>
              </w:rPr>
              <w:t>00</w:t>
            </w:r>
          </w:p>
        </w:tc>
      </w:tr>
    </w:tbl>
    <w:p>
      <w:pPr>
        <w:keepNext w:val="0"/>
        <w:keepLines w:val="0"/>
        <w:pageBreakBefore w:val="0"/>
        <w:widowControl w:val="0"/>
        <w:kinsoku/>
        <w:overflowPunct/>
        <w:topLinePunct w:val="0"/>
        <w:autoSpaceDE/>
        <w:autoSpaceDN/>
        <w:bidi w:val="0"/>
        <w:adjustRightInd/>
        <w:snapToGrid/>
        <w:spacing w:line="520" w:lineRule="exact"/>
        <w:textAlignment w:val="auto"/>
        <w:rPr>
          <w:rFonts w:ascii="仿宋" w:hAnsi="仿宋" w:eastAsia="仿宋"/>
          <w:sz w:val="24"/>
          <w:szCs w:val="28"/>
        </w:rPr>
      </w:pPr>
      <w:r>
        <w:rPr>
          <w:rFonts w:hint="eastAsia" w:ascii="仿宋" w:hAnsi="仿宋" w:eastAsia="仿宋"/>
          <w:sz w:val="24"/>
          <w:szCs w:val="28"/>
        </w:rPr>
        <w:t>附注：</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ascii="仿宋" w:hAnsi="仿宋" w:eastAsia="仿宋"/>
          <w:sz w:val="24"/>
          <w:szCs w:val="28"/>
        </w:rPr>
      </w:pPr>
      <w:r>
        <w:rPr>
          <w:rFonts w:hint="eastAsia" w:ascii="仿宋" w:hAnsi="仿宋" w:eastAsia="仿宋"/>
          <w:sz w:val="24"/>
          <w:szCs w:val="28"/>
        </w:rPr>
        <w:t>（1）售后质保：主机和显示器同一品牌，整机（含显示器）原厂三年免费上门维修服务；提供原厂开具盖鲜章的售后服务承诺函。</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ascii="仿宋" w:hAnsi="仿宋" w:eastAsia="仿宋"/>
          <w:sz w:val="24"/>
          <w:szCs w:val="28"/>
        </w:rPr>
      </w:pPr>
      <w:r>
        <w:rPr>
          <w:rFonts w:hint="eastAsia" w:ascii="仿宋" w:hAnsi="仿宋" w:eastAsia="仿宋"/>
          <w:sz w:val="24"/>
          <w:szCs w:val="28"/>
        </w:rPr>
        <w:t>（2）以上要求均为本次采购的最低要求。</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ascii="仿宋_GB2312" w:eastAsia="仿宋_GB2312"/>
          <w:sz w:val="28"/>
          <w:szCs w:val="28"/>
        </w:rPr>
      </w:pPr>
      <w:r>
        <w:rPr>
          <w:rFonts w:hint="eastAsia" w:ascii="仿宋" w:hAnsi="仿宋" w:eastAsia="仿宋"/>
          <w:sz w:val="24"/>
          <w:szCs w:val="28"/>
        </w:rPr>
        <w:t>（3）</w:t>
      </w:r>
      <w:r>
        <w:rPr>
          <w:rFonts w:hint="eastAsia" w:ascii="仿宋" w:hAnsi="仿宋" w:eastAsia="仿宋"/>
          <w:sz w:val="24"/>
          <w:szCs w:val="28"/>
          <w:lang w:val="en-US" w:eastAsia="zh-CN"/>
        </w:rPr>
        <w:t>采购周期1年</w:t>
      </w:r>
      <w:bookmarkStart w:id="0" w:name="_GoBack"/>
      <w:bookmarkEnd w:id="0"/>
      <w:r>
        <w:rPr>
          <w:rFonts w:hint="eastAsia" w:ascii="仿宋" w:hAnsi="仿宋" w:eastAsia="仿宋"/>
          <w:sz w:val="24"/>
          <w:szCs w:val="28"/>
          <w:lang w:val="en-US" w:eastAsia="zh-CN"/>
        </w:rPr>
        <w:t>，采购</w:t>
      </w:r>
      <w:r>
        <w:rPr>
          <w:rFonts w:hint="eastAsia" w:ascii="仿宋" w:hAnsi="仿宋" w:eastAsia="仿宋"/>
          <w:sz w:val="24"/>
          <w:szCs w:val="28"/>
        </w:rPr>
        <w:t>数量暂定，具体采购数量以</w:t>
      </w:r>
      <w:r>
        <w:rPr>
          <w:rFonts w:hint="eastAsia" w:ascii="仿宋" w:hAnsi="仿宋" w:eastAsia="仿宋"/>
          <w:sz w:val="24"/>
          <w:szCs w:val="28"/>
          <w:lang w:val="en-US" w:eastAsia="zh-CN"/>
        </w:rPr>
        <w:t>实际采购数量</w:t>
      </w:r>
      <w:r>
        <w:rPr>
          <w:rFonts w:hint="eastAsia" w:ascii="仿宋" w:hAnsi="仿宋" w:eastAsia="仿宋"/>
          <w:sz w:val="24"/>
          <w:szCs w:val="28"/>
        </w:rPr>
        <w:t>为准。</w:t>
      </w:r>
      <w:r>
        <w:rPr>
          <w:rFonts w:hint="eastAsia" w:ascii="仿宋_GB2312" w:eastAsia="仿宋_GB2312"/>
          <w:sz w:val="28"/>
          <w:szCs w:val="28"/>
        </w:rPr>
        <w:t>　</w:t>
      </w:r>
    </w:p>
    <w:p>
      <w:pPr>
        <w:pStyle w:val="9"/>
        <w:keepNext w:val="0"/>
        <w:keepLines w:val="0"/>
        <w:pageBreakBefore w:val="0"/>
        <w:widowControl w:val="0"/>
        <w:numPr>
          <w:ilvl w:val="0"/>
          <w:numId w:val="1"/>
        </w:numPr>
        <w:kinsoku/>
        <w:overflowPunct/>
        <w:topLinePunct w:val="0"/>
        <w:autoSpaceDE/>
        <w:autoSpaceDN/>
        <w:bidi w:val="0"/>
        <w:adjustRightInd/>
        <w:snapToGrid/>
        <w:spacing w:line="520" w:lineRule="exact"/>
        <w:ind w:firstLineChars="0"/>
        <w:jc w:val="left"/>
        <w:textAlignment w:val="auto"/>
        <w:rPr>
          <w:rFonts w:ascii="仿宋_GB2312" w:eastAsia="仿宋_GB2312"/>
          <w:b/>
          <w:bCs/>
          <w:sz w:val="28"/>
          <w:szCs w:val="28"/>
        </w:rPr>
      </w:pPr>
      <w:r>
        <w:rPr>
          <w:rFonts w:hint="eastAsia" w:ascii="仿宋_GB2312" w:eastAsia="仿宋_GB2312"/>
          <w:b/>
          <w:bCs/>
          <w:sz w:val="28"/>
          <w:szCs w:val="28"/>
        </w:rPr>
        <w:t>报价文件递交</w:t>
      </w:r>
    </w:p>
    <w:p>
      <w:pPr>
        <w:pStyle w:val="9"/>
        <w:keepNext w:val="0"/>
        <w:keepLines w:val="0"/>
        <w:pageBreakBefore w:val="0"/>
        <w:widowControl w:val="0"/>
        <w:numPr>
          <w:ilvl w:val="0"/>
          <w:numId w:val="5"/>
        </w:numPr>
        <w:kinsoku/>
        <w:overflowPunct/>
        <w:topLinePunct w:val="0"/>
        <w:autoSpaceDE/>
        <w:autoSpaceDN/>
        <w:bidi w:val="0"/>
        <w:adjustRightInd/>
        <w:snapToGrid/>
        <w:spacing w:line="520" w:lineRule="exact"/>
        <w:ind w:firstLineChars="0"/>
        <w:jc w:val="left"/>
        <w:textAlignment w:val="auto"/>
        <w:rPr>
          <w:rFonts w:ascii="仿宋_GB2312" w:eastAsia="仿宋_GB2312"/>
          <w:sz w:val="28"/>
          <w:szCs w:val="28"/>
        </w:rPr>
      </w:pPr>
      <w:r>
        <w:rPr>
          <w:rFonts w:hint="eastAsia" w:ascii="仿宋_GB2312" w:eastAsia="仿宋_GB2312"/>
          <w:sz w:val="28"/>
          <w:szCs w:val="28"/>
        </w:rPr>
        <w:t>参与本次询价的供应商须在询价响应时提供以下资料：营业执照副本复印件、报价函、一般纳税人认定证明、授权书，所有资料加盖公章。</w:t>
      </w:r>
    </w:p>
    <w:p>
      <w:pPr>
        <w:pStyle w:val="9"/>
        <w:keepNext w:val="0"/>
        <w:keepLines w:val="0"/>
        <w:pageBreakBefore w:val="0"/>
        <w:widowControl w:val="0"/>
        <w:numPr>
          <w:ilvl w:val="0"/>
          <w:numId w:val="5"/>
        </w:numPr>
        <w:kinsoku/>
        <w:overflowPunct/>
        <w:topLinePunct w:val="0"/>
        <w:autoSpaceDE/>
        <w:autoSpaceDN/>
        <w:bidi w:val="0"/>
        <w:adjustRightInd/>
        <w:snapToGrid/>
        <w:spacing w:line="520" w:lineRule="exact"/>
        <w:ind w:firstLineChars="0"/>
        <w:jc w:val="left"/>
        <w:textAlignment w:val="auto"/>
        <w:rPr>
          <w:rFonts w:ascii="仿宋_GB2312" w:eastAsia="仿宋_GB2312"/>
          <w:sz w:val="28"/>
          <w:szCs w:val="28"/>
        </w:rPr>
      </w:pPr>
      <w:r>
        <w:rPr>
          <w:rFonts w:hint="eastAsia" w:ascii="仿宋_GB2312" w:eastAsia="仿宋_GB2312"/>
          <w:sz w:val="28"/>
          <w:szCs w:val="28"/>
        </w:rPr>
        <w:t>报价资料</w:t>
      </w:r>
      <w:r>
        <w:rPr>
          <w:rFonts w:hint="eastAsia" w:ascii="仿宋_GB2312" w:eastAsia="仿宋_GB2312"/>
          <w:sz w:val="28"/>
          <w:szCs w:val="28"/>
          <w:lang w:val="en-US" w:eastAsia="zh-CN"/>
        </w:rPr>
        <w:t>原件一份，</w:t>
      </w:r>
      <w:r>
        <w:rPr>
          <w:rFonts w:hint="eastAsia" w:ascii="仿宋_GB2312" w:eastAsia="仿宋_GB2312"/>
          <w:sz w:val="28"/>
          <w:szCs w:val="28"/>
        </w:rPr>
        <w:t>需密封，如果因密封不严，标记不清而造成询价文件过早启封、失密等情况，采购人概不负责。</w:t>
      </w:r>
    </w:p>
    <w:p>
      <w:pPr>
        <w:pStyle w:val="9"/>
        <w:keepNext w:val="0"/>
        <w:keepLines w:val="0"/>
        <w:pageBreakBefore w:val="0"/>
        <w:widowControl w:val="0"/>
        <w:numPr>
          <w:ilvl w:val="0"/>
          <w:numId w:val="5"/>
        </w:numPr>
        <w:kinsoku/>
        <w:overflowPunct/>
        <w:topLinePunct w:val="0"/>
        <w:autoSpaceDE/>
        <w:autoSpaceDN/>
        <w:bidi w:val="0"/>
        <w:adjustRightInd/>
        <w:snapToGrid/>
        <w:spacing w:line="520" w:lineRule="exact"/>
        <w:ind w:firstLineChars="0"/>
        <w:jc w:val="left"/>
        <w:textAlignment w:val="auto"/>
        <w:rPr>
          <w:rFonts w:ascii="仿宋_GB2312" w:eastAsia="仿宋_GB2312"/>
          <w:sz w:val="28"/>
          <w:szCs w:val="28"/>
        </w:rPr>
      </w:pPr>
      <w:r>
        <w:rPr>
          <w:rFonts w:hint="eastAsia" w:ascii="仿宋_GB2312" w:eastAsia="仿宋_GB2312"/>
          <w:sz w:val="28"/>
          <w:szCs w:val="28"/>
        </w:rPr>
        <w:t>文件接收地址：在截止时间前邮寄或送达至。</w:t>
      </w:r>
    </w:p>
    <w:p>
      <w:pPr>
        <w:pStyle w:val="9"/>
        <w:keepNext w:val="0"/>
        <w:keepLines w:val="0"/>
        <w:pageBreakBefore w:val="0"/>
        <w:widowControl w:val="0"/>
        <w:numPr>
          <w:ilvl w:val="0"/>
          <w:numId w:val="5"/>
        </w:numPr>
        <w:kinsoku/>
        <w:overflowPunct/>
        <w:topLinePunct w:val="0"/>
        <w:autoSpaceDE/>
        <w:autoSpaceDN/>
        <w:bidi w:val="0"/>
        <w:adjustRightInd/>
        <w:snapToGrid/>
        <w:spacing w:line="520" w:lineRule="exact"/>
        <w:ind w:firstLineChars="0"/>
        <w:jc w:val="left"/>
        <w:textAlignment w:val="auto"/>
        <w:rPr>
          <w:rFonts w:ascii="仿宋_GB2312" w:eastAsia="仿宋_GB2312"/>
          <w:sz w:val="28"/>
          <w:szCs w:val="28"/>
        </w:rPr>
      </w:pPr>
      <w:r>
        <w:rPr>
          <w:rFonts w:hint="eastAsia" w:ascii="仿宋_GB2312" w:eastAsia="仿宋_GB2312"/>
          <w:sz w:val="28"/>
          <w:szCs w:val="28"/>
        </w:rPr>
        <w:t>截止时间：2</w:t>
      </w:r>
      <w:r>
        <w:rPr>
          <w:rFonts w:ascii="仿宋_GB2312" w:eastAsia="仿宋_GB2312"/>
          <w:sz w:val="28"/>
          <w:szCs w:val="28"/>
        </w:rPr>
        <w:t>02</w:t>
      </w:r>
      <w:r>
        <w:rPr>
          <w:rFonts w:hint="eastAsia" w:ascii="仿宋_GB2312" w:eastAsia="仿宋_GB2312"/>
          <w:sz w:val="28"/>
          <w:szCs w:val="28"/>
          <w:lang w:val="en-US" w:eastAsia="zh-CN"/>
        </w:rPr>
        <w:t>3</w:t>
      </w:r>
      <w:r>
        <w:rPr>
          <w:rFonts w:hint="eastAsia" w:ascii="仿宋_GB2312" w:eastAsia="仿宋_GB2312"/>
          <w:sz w:val="28"/>
          <w:szCs w:val="28"/>
        </w:rPr>
        <w:t>年</w:t>
      </w:r>
      <w:r>
        <w:rPr>
          <w:rFonts w:hint="eastAsia" w:ascii="仿宋_GB2312" w:eastAsia="仿宋_GB2312"/>
          <w:sz w:val="28"/>
          <w:szCs w:val="28"/>
          <w:lang w:val="en-US" w:eastAsia="zh-CN"/>
        </w:rPr>
        <w:t>6</w:t>
      </w:r>
      <w:r>
        <w:rPr>
          <w:rFonts w:hint="eastAsia" w:ascii="仿宋_GB2312" w:eastAsia="仿宋_GB2312"/>
          <w:sz w:val="28"/>
          <w:szCs w:val="28"/>
        </w:rPr>
        <w:t>月</w:t>
      </w:r>
      <w:r>
        <w:rPr>
          <w:rFonts w:hint="eastAsia" w:ascii="仿宋_GB2312" w:eastAsia="仿宋_GB2312"/>
          <w:sz w:val="28"/>
          <w:szCs w:val="28"/>
          <w:lang w:val="en-US" w:eastAsia="zh-CN"/>
        </w:rPr>
        <w:t>28</w:t>
      </w:r>
      <w:r>
        <w:rPr>
          <w:rFonts w:hint="eastAsia" w:ascii="仿宋_GB2312" w:eastAsia="仿宋_GB2312"/>
          <w:sz w:val="28"/>
          <w:szCs w:val="28"/>
        </w:rPr>
        <w:t>日1</w:t>
      </w:r>
      <w:r>
        <w:rPr>
          <w:rFonts w:ascii="仿宋_GB2312" w:eastAsia="仿宋_GB2312"/>
          <w:sz w:val="28"/>
          <w:szCs w:val="28"/>
        </w:rPr>
        <w:t>8</w:t>
      </w:r>
      <w:r>
        <w:rPr>
          <w:rFonts w:hint="eastAsia" w:ascii="仿宋_GB2312" w:eastAsia="仿宋_GB2312"/>
          <w:sz w:val="28"/>
          <w:szCs w:val="28"/>
        </w:rPr>
        <w:t>：0</w:t>
      </w:r>
      <w:r>
        <w:rPr>
          <w:rFonts w:ascii="仿宋_GB2312" w:eastAsia="仿宋_GB2312"/>
          <w:sz w:val="28"/>
          <w:szCs w:val="28"/>
        </w:rPr>
        <w:t>0</w:t>
      </w:r>
      <w:r>
        <w:rPr>
          <w:rFonts w:hint="eastAsia" w:ascii="仿宋_GB2312" w:eastAsia="仿宋_GB2312"/>
          <w:sz w:val="28"/>
          <w:szCs w:val="28"/>
        </w:rPr>
        <w:t>前</w:t>
      </w:r>
      <w:r>
        <w:rPr>
          <w:rFonts w:hint="eastAsia" w:ascii="仿宋_GB2312" w:eastAsia="仿宋_GB2312"/>
          <w:sz w:val="28"/>
          <w:szCs w:val="28"/>
          <w:lang w:val="en-US" w:eastAsia="zh-CN"/>
        </w:rPr>
        <w:t>送至</w:t>
      </w:r>
      <w:r>
        <w:rPr>
          <w:rFonts w:hint="eastAsia" w:ascii="仿宋_GB2312" w:hAnsi="仿宋_GB2312" w:eastAsia="仿宋_GB2312" w:cs="仿宋_GB2312"/>
          <w:sz w:val="28"/>
          <w:szCs w:val="28"/>
        </w:rPr>
        <w:t>成都市高新区吉瑞二路188号高新创合中心A1座8楼</w:t>
      </w:r>
      <w:r>
        <w:rPr>
          <w:rFonts w:hint="eastAsia" w:ascii="仿宋_GB2312" w:hAnsi="仿宋_GB2312" w:eastAsia="仿宋_GB2312" w:cs="仿宋_GB2312"/>
          <w:sz w:val="28"/>
          <w:szCs w:val="28"/>
          <w:lang w:val="en-US" w:eastAsia="zh-CN"/>
        </w:rPr>
        <w:t>803</w:t>
      </w:r>
      <w:r>
        <w:rPr>
          <w:rFonts w:hint="eastAsia" w:ascii="仿宋_GB2312" w:eastAsia="仿宋_GB2312"/>
          <w:sz w:val="28"/>
          <w:szCs w:val="28"/>
        </w:rPr>
        <w:t>，逾期送达，不予受理。</w:t>
      </w:r>
    </w:p>
    <w:p>
      <w:pPr>
        <w:pStyle w:val="9"/>
        <w:keepNext w:val="0"/>
        <w:keepLines w:val="0"/>
        <w:pageBreakBefore w:val="0"/>
        <w:widowControl w:val="0"/>
        <w:numPr>
          <w:ilvl w:val="0"/>
          <w:numId w:val="1"/>
        </w:numPr>
        <w:kinsoku/>
        <w:overflowPunct/>
        <w:topLinePunct w:val="0"/>
        <w:autoSpaceDE/>
        <w:autoSpaceDN/>
        <w:bidi w:val="0"/>
        <w:adjustRightInd/>
        <w:snapToGrid/>
        <w:spacing w:line="520" w:lineRule="exact"/>
        <w:ind w:firstLineChars="0"/>
        <w:jc w:val="left"/>
        <w:textAlignment w:val="auto"/>
        <w:rPr>
          <w:rFonts w:ascii="仿宋_GB2312" w:eastAsia="仿宋_GB2312"/>
          <w:b/>
          <w:bCs/>
          <w:sz w:val="28"/>
          <w:szCs w:val="28"/>
        </w:rPr>
      </w:pPr>
      <w:r>
        <w:rPr>
          <w:rFonts w:hint="eastAsia" w:ascii="仿宋_GB2312" w:eastAsia="仿宋_GB2312"/>
          <w:b/>
          <w:bCs/>
          <w:sz w:val="28"/>
          <w:szCs w:val="28"/>
        </w:rPr>
        <w:t>交货期及付款方式</w:t>
      </w:r>
    </w:p>
    <w:p>
      <w:pPr>
        <w:pStyle w:val="9"/>
        <w:keepNext w:val="0"/>
        <w:keepLines w:val="0"/>
        <w:pageBreakBefore w:val="0"/>
        <w:widowControl w:val="0"/>
        <w:numPr>
          <w:ilvl w:val="0"/>
          <w:numId w:val="6"/>
        </w:numPr>
        <w:kinsoku/>
        <w:overflowPunct/>
        <w:topLinePunct w:val="0"/>
        <w:autoSpaceDE/>
        <w:autoSpaceDN/>
        <w:bidi w:val="0"/>
        <w:adjustRightInd/>
        <w:snapToGrid/>
        <w:spacing w:line="520" w:lineRule="exact"/>
        <w:ind w:firstLineChars="0"/>
        <w:jc w:val="left"/>
        <w:textAlignment w:val="auto"/>
        <w:rPr>
          <w:rFonts w:ascii="仿宋_GB2312" w:eastAsia="仿宋_GB2312"/>
          <w:sz w:val="28"/>
          <w:szCs w:val="28"/>
        </w:rPr>
      </w:pPr>
      <w:r>
        <w:rPr>
          <w:rFonts w:hint="eastAsia" w:ascii="仿宋_GB2312" w:eastAsia="仿宋_GB2312"/>
          <w:sz w:val="28"/>
          <w:szCs w:val="28"/>
        </w:rPr>
        <w:t>交货期：签订战略协议，在协议期内按需定价采购，供应商应于需求发出后</w:t>
      </w:r>
      <w:r>
        <w:rPr>
          <w:rFonts w:hint="eastAsia" w:ascii="仿宋_GB2312" w:eastAsia="仿宋_GB2312"/>
          <w:sz w:val="28"/>
          <w:szCs w:val="28"/>
          <w:lang w:val="en-US" w:eastAsia="zh-CN"/>
        </w:rPr>
        <w:t>7</w:t>
      </w:r>
      <w:r>
        <w:rPr>
          <w:rFonts w:hint="eastAsia" w:ascii="仿宋_GB2312" w:eastAsia="仿宋_GB2312"/>
          <w:sz w:val="28"/>
          <w:szCs w:val="28"/>
        </w:rPr>
        <w:t>天内交货。</w:t>
      </w:r>
    </w:p>
    <w:p>
      <w:pPr>
        <w:pStyle w:val="9"/>
        <w:keepNext w:val="0"/>
        <w:keepLines w:val="0"/>
        <w:pageBreakBefore w:val="0"/>
        <w:widowControl w:val="0"/>
        <w:numPr>
          <w:ilvl w:val="0"/>
          <w:numId w:val="6"/>
        </w:numPr>
        <w:kinsoku/>
        <w:overflowPunct/>
        <w:topLinePunct w:val="0"/>
        <w:autoSpaceDE/>
        <w:autoSpaceDN/>
        <w:bidi w:val="0"/>
        <w:adjustRightInd/>
        <w:snapToGrid/>
        <w:spacing w:line="520" w:lineRule="exact"/>
        <w:ind w:firstLineChars="0"/>
        <w:jc w:val="left"/>
        <w:textAlignment w:val="auto"/>
        <w:rPr>
          <w:rFonts w:ascii="仿宋_GB2312" w:eastAsia="仿宋_GB2312"/>
          <w:sz w:val="28"/>
          <w:szCs w:val="28"/>
        </w:rPr>
      </w:pPr>
      <w:r>
        <w:rPr>
          <w:rFonts w:hint="eastAsia" w:ascii="仿宋_GB2312" w:eastAsia="仿宋_GB2312"/>
          <w:sz w:val="28"/>
          <w:szCs w:val="28"/>
        </w:rPr>
        <w:t>付款方式：</w:t>
      </w:r>
      <w:r>
        <w:rPr>
          <w:rFonts w:hint="eastAsia" w:ascii="仿宋_GB2312" w:hAnsi="仿宋_GB2312" w:eastAsia="仿宋_GB2312" w:cs="仿宋_GB2312"/>
          <w:sz w:val="28"/>
          <w:szCs w:val="28"/>
        </w:rPr>
        <w:t>收到货物并通过验收，且报价人开具符合要求的增值税专用发票后10个工作日</w:t>
      </w:r>
      <w:r>
        <w:rPr>
          <w:rFonts w:hint="eastAsia" w:ascii="仿宋_GB2312" w:hAnsi="仿宋_GB2312" w:eastAsia="仿宋_GB2312" w:cs="仿宋_GB2312"/>
          <w:sz w:val="28"/>
          <w:szCs w:val="28"/>
          <w:lang w:val="en-US" w:eastAsia="zh-CN"/>
        </w:rPr>
        <w:t>内</w:t>
      </w:r>
      <w:r>
        <w:rPr>
          <w:rFonts w:hint="eastAsia" w:ascii="仿宋_GB2312" w:hAnsi="仿宋_GB2312" w:eastAsia="仿宋_GB2312" w:cs="仿宋_GB2312"/>
          <w:sz w:val="28"/>
          <w:szCs w:val="28"/>
        </w:rPr>
        <w:t>一次性付清全部货款</w:t>
      </w:r>
      <w:r>
        <w:rPr>
          <w:rFonts w:ascii="仿宋_GB2312" w:eastAsia="仿宋_GB2312"/>
          <w:sz w:val="28"/>
          <w:szCs w:val="28"/>
        </w:rPr>
        <w:t>。</w:t>
      </w:r>
    </w:p>
    <w:p>
      <w:pPr>
        <w:pStyle w:val="9"/>
        <w:keepNext w:val="0"/>
        <w:keepLines w:val="0"/>
        <w:pageBreakBefore w:val="0"/>
        <w:widowControl w:val="0"/>
        <w:numPr>
          <w:ilvl w:val="0"/>
          <w:numId w:val="1"/>
        </w:numPr>
        <w:kinsoku/>
        <w:overflowPunct/>
        <w:topLinePunct w:val="0"/>
        <w:autoSpaceDE/>
        <w:autoSpaceDN/>
        <w:bidi w:val="0"/>
        <w:adjustRightInd/>
        <w:snapToGrid/>
        <w:spacing w:line="520" w:lineRule="exact"/>
        <w:ind w:firstLineChars="0"/>
        <w:jc w:val="left"/>
        <w:textAlignment w:val="auto"/>
        <w:rPr>
          <w:rFonts w:ascii="仿宋_GB2312" w:eastAsia="仿宋_GB2312"/>
          <w:b/>
          <w:bCs/>
          <w:sz w:val="28"/>
          <w:szCs w:val="28"/>
        </w:rPr>
      </w:pPr>
      <w:r>
        <w:rPr>
          <w:rFonts w:hint="eastAsia" w:ascii="仿宋_GB2312" w:eastAsia="仿宋_GB2312"/>
          <w:b/>
          <w:bCs/>
          <w:sz w:val="28"/>
          <w:szCs w:val="28"/>
        </w:rPr>
        <w:t>联系方式</w:t>
      </w:r>
    </w:p>
    <w:p>
      <w:pPr>
        <w:pStyle w:val="9"/>
        <w:keepNext w:val="0"/>
        <w:keepLines w:val="0"/>
        <w:pageBreakBefore w:val="0"/>
        <w:widowControl w:val="0"/>
        <w:numPr>
          <w:ilvl w:val="0"/>
          <w:numId w:val="7"/>
        </w:numPr>
        <w:kinsoku/>
        <w:overflowPunct/>
        <w:topLinePunct w:val="0"/>
        <w:autoSpaceDE/>
        <w:autoSpaceDN/>
        <w:bidi w:val="0"/>
        <w:adjustRightInd/>
        <w:snapToGrid/>
        <w:spacing w:line="520" w:lineRule="exact"/>
        <w:ind w:firstLineChars="0"/>
        <w:jc w:val="left"/>
        <w:textAlignment w:val="auto"/>
        <w:rPr>
          <w:rFonts w:ascii="仿宋_GB2312" w:eastAsia="仿宋_GB2312"/>
          <w:sz w:val="28"/>
          <w:szCs w:val="28"/>
        </w:rPr>
      </w:pPr>
      <w:r>
        <w:rPr>
          <w:rFonts w:hint="eastAsia" w:ascii="仿宋_GB2312" w:eastAsia="仿宋_GB2312"/>
          <w:sz w:val="28"/>
          <w:szCs w:val="28"/>
        </w:rPr>
        <w:t>联系人：</w:t>
      </w:r>
      <w:r>
        <w:rPr>
          <w:rFonts w:hint="eastAsia" w:ascii="仿宋_GB2312" w:eastAsia="仿宋_GB2312"/>
          <w:sz w:val="28"/>
          <w:szCs w:val="28"/>
          <w:lang w:val="en-US" w:eastAsia="zh-CN"/>
        </w:rPr>
        <w:t>王先生</w:t>
      </w:r>
      <w:r>
        <w:rPr>
          <w:rFonts w:hint="eastAsia" w:ascii="仿宋_GB2312" w:eastAsia="仿宋_GB2312"/>
          <w:sz w:val="28"/>
          <w:szCs w:val="28"/>
        </w:rPr>
        <w:t xml:space="preserve"> 18</w:t>
      </w:r>
      <w:r>
        <w:rPr>
          <w:rFonts w:hint="eastAsia" w:ascii="仿宋_GB2312" w:eastAsia="仿宋_GB2312"/>
          <w:sz w:val="28"/>
          <w:szCs w:val="28"/>
          <w:lang w:val="en-US" w:eastAsia="zh-CN"/>
        </w:rPr>
        <w:t>208181957</w:t>
      </w:r>
    </w:p>
    <w:p>
      <w:pPr>
        <w:pStyle w:val="9"/>
        <w:keepNext w:val="0"/>
        <w:keepLines w:val="0"/>
        <w:pageBreakBefore w:val="0"/>
        <w:widowControl w:val="0"/>
        <w:numPr>
          <w:ilvl w:val="0"/>
          <w:numId w:val="7"/>
        </w:numPr>
        <w:kinsoku/>
        <w:overflowPunct/>
        <w:topLinePunct w:val="0"/>
        <w:autoSpaceDE/>
        <w:autoSpaceDN/>
        <w:bidi w:val="0"/>
        <w:adjustRightInd/>
        <w:snapToGrid/>
        <w:spacing w:line="520" w:lineRule="exact"/>
        <w:ind w:firstLineChars="0"/>
        <w:jc w:val="left"/>
        <w:textAlignment w:val="auto"/>
        <w:rPr>
          <w:rFonts w:ascii="仿宋_GB2312" w:eastAsia="仿宋_GB2312"/>
          <w:sz w:val="28"/>
          <w:szCs w:val="28"/>
        </w:rPr>
      </w:pPr>
      <w:r>
        <w:rPr>
          <w:rFonts w:hint="eastAsia" w:ascii="仿宋_GB2312" w:eastAsia="仿宋_GB2312"/>
          <w:sz w:val="28"/>
          <w:szCs w:val="28"/>
        </w:rPr>
        <w:t>地址：</w:t>
      </w:r>
      <w:r>
        <w:rPr>
          <w:rFonts w:hint="eastAsia" w:ascii="仿宋_GB2312" w:hAnsi="仿宋_GB2312" w:eastAsia="仿宋_GB2312" w:cs="仿宋_GB2312"/>
          <w:sz w:val="28"/>
          <w:szCs w:val="28"/>
        </w:rPr>
        <w:t>成都市高新区吉瑞二路188号高新创合中心A1座8楼</w:t>
      </w:r>
    </w:p>
    <w:p>
      <w:pPr>
        <w:pStyle w:val="9"/>
        <w:keepNext w:val="0"/>
        <w:keepLines w:val="0"/>
        <w:pageBreakBefore w:val="0"/>
        <w:widowControl w:val="0"/>
        <w:numPr>
          <w:ilvl w:val="0"/>
          <w:numId w:val="0"/>
        </w:numPr>
        <w:kinsoku/>
        <w:overflowPunct/>
        <w:topLinePunct w:val="0"/>
        <w:autoSpaceDE/>
        <w:autoSpaceDN/>
        <w:bidi w:val="0"/>
        <w:adjustRightInd/>
        <w:snapToGrid/>
        <w:spacing w:line="520" w:lineRule="exact"/>
        <w:ind w:left="420" w:leftChars="0"/>
        <w:jc w:val="left"/>
        <w:textAlignment w:val="auto"/>
        <w:rPr>
          <w:rFonts w:ascii="仿宋_GB2312" w:eastAsia="仿宋_GB2312"/>
          <w:sz w:val="28"/>
          <w:szCs w:val="28"/>
        </w:rPr>
      </w:pPr>
    </w:p>
    <w:p>
      <w:pPr>
        <w:pStyle w:val="9"/>
        <w:keepNext w:val="0"/>
        <w:keepLines w:val="0"/>
        <w:pageBreakBefore w:val="0"/>
        <w:widowControl w:val="0"/>
        <w:kinsoku/>
        <w:overflowPunct/>
        <w:topLinePunct w:val="0"/>
        <w:autoSpaceDE/>
        <w:autoSpaceDN/>
        <w:bidi w:val="0"/>
        <w:adjustRightInd/>
        <w:snapToGrid/>
        <w:spacing w:line="520" w:lineRule="exact"/>
        <w:ind w:left="840" w:firstLine="0" w:firstLineChars="0"/>
        <w:jc w:val="right"/>
        <w:textAlignment w:val="auto"/>
        <w:rPr>
          <w:rFonts w:ascii="仿宋_GB2312" w:eastAsia="仿宋_GB2312"/>
          <w:sz w:val="28"/>
          <w:szCs w:val="28"/>
        </w:rPr>
      </w:pPr>
      <w:r>
        <w:rPr>
          <w:rFonts w:hint="eastAsia" w:ascii="仿宋_GB2312" w:eastAsia="仿宋_GB2312"/>
          <w:sz w:val="28"/>
          <w:szCs w:val="28"/>
        </w:rPr>
        <w:t>成都国万科技服务有限公司</w:t>
      </w:r>
    </w:p>
    <w:p>
      <w:pPr>
        <w:pStyle w:val="9"/>
        <w:keepNext w:val="0"/>
        <w:keepLines w:val="0"/>
        <w:pageBreakBefore w:val="0"/>
        <w:widowControl w:val="0"/>
        <w:kinsoku/>
        <w:wordWrap w:val="0"/>
        <w:overflowPunct/>
        <w:topLinePunct w:val="0"/>
        <w:autoSpaceDE/>
        <w:autoSpaceDN/>
        <w:bidi w:val="0"/>
        <w:adjustRightInd/>
        <w:snapToGrid/>
        <w:spacing w:line="520" w:lineRule="exact"/>
        <w:ind w:left="840" w:firstLine="0" w:firstLineChars="0"/>
        <w:jc w:val="right"/>
        <w:textAlignment w:val="auto"/>
        <w:rPr>
          <w:rFonts w:hint="eastAsia" w:ascii="仿宋_GB2312" w:eastAsia="仿宋_GB2312"/>
          <w:sz w:val="28"/>
          <w:szCs w:val="28"/>
        </w:rPr>
      </w:pPr>
      <w:r>
        <w:rPr>
          <w:rFonts w:hint="eastAsia" w:ascii="仿宋_GB2312" w:eastAsia="仿宋_GB2312"/>
          <w:sz w:val="28"/>
          <w:szCs w:val="28"/>
        </w:rPr>
        <w:t>2</w:t>
      </w:r>
      <w:r>
        <w:rPr>
          <w:rFonts w:ascii="仿宋_GB2312" w:eastAsia="仿宋_GB2312"/>
          <w:sz w:val="28"/>
          <w:szCs w:val="28"/>
        </w:rPr>
        <w:t>02</w:t>
      </w:r>
      <w:r>
        <w:rPr>
          <w:rFonts w:hint="eastAsia" w:ascii="仿宋_GB2312" w:eastAsia="仿宋_GB2312"/>
          <w:sz w:val="28"/>
          <w:szCs w:val="28"/>
          <w:lang w:val="en-US" w:eastAsia="zh-CN"/>
        </w:rPr>
        <w:t>3</w:t>
      </w:r>
      <w:r>
        <w:rPr>
          <w:rFonts w:hint="eastAsia" w:ascii="仿宋_GB2312" w:eastAsia="仿宋_GB2312"/>
          <w:sz w:val="28"/>
          <w:szCs w:val="28"/>
        </w:rPr>
        <w:t>年</w:t>
      </w:r>
      <w:r>
        <w:rPr>
          <w:rFonts w:hint="eastAsia" w:ascii="仿宋_GB2312" w:eastAsia="仿宋_GB2312"/>
          <w:sz w:val="28"/>
          <w:szCs w:val="28"/>
          <w:lang w:val="en-US" w:eastAsia="zh-CN"/>
        </w:rPr>
        <w:t>6</w:t>
      </w:r>
      <w:r>
        <w:rPr>
          <w:rFonts w:hint="eastAsia" w:ascii="仿宋_GB2312" w:eastAsia="仿宋_GB2312"/>
          <w:sz w:val="28"/>
          <w:szCs w:val="28"/>
        </w:rPr>
        <w:t>月</w:t>
      </w:r>
      <w:r>
        <w:rPr>
          <w:rFonts w:ascii="仿宋_GB2312" w:eastAsia="仿宋_GB2312"/>
          <w:sz w:val="28"/>
          <w:szCs w:val="28"/>
        </w:rPr>
        <w:t>2</w:t>
      </w:r>
      <w:r>
        <w:rPr>
          <w:rFonts w:hint="eastAsia" w:ascii="仿宋_GB2312" w:eastAsia="仿宋_GB2312"/>
          <w:sz w:val="28"/>
          <w:szCs w:val="28"/>
          <w:lang w:val="en-US" w:eastAsia="zh-CN"/>
        </w:rPr>
        <w:t>1</w:t>
      </w:r>
      <w:r>
        <w:rPr>
          <w:rFonts w:hint="eastAsia" w:ascii="仿宋_GB2312" w:eastAsia="仿宋_GB2312"/>
          <w:sz w:val="28"/>
          <w:szCs w:val="28"/>
        </w:rPr>
        <w:t>日</w:t>
      </w:r>
    </w:p>
    <w:p>
      <w:pPr>
        <w:spacing w:line="500" w:lineRule="exact"/>
        <w:jc w:val="center"/>
        <w:rPr>
          <w:rFonts w:hint="eastAsia"/>
          <w:b/>
          <w:bCs/>
          <w:sz w:val="44"/>
          <w:szCs w:val="40"/>
        </w:rPr>
      </w:pPr>
      <w:r>
        <w:rPr>
          <w:rFonts w:hint="eastAsia"/>
          <w:b/>
          <w:bCs/>
          <w:sz w:val="44"/>
          <w:szCs w:val="40"/>
        </w:rPr>
        <w:t>成都国万电脑询价采购报价单</w:t>
      </w:r>
    </w:p>
    <w:tbl>
      <w:tblPr>
        <w:tblStyle w:val="4"/>
        <w:tblpPr w:leftFromText="180" w:rightFromText="180" w:vertAnchor="page" w:horzAnchor="page" w:tblpX="889" w:tblpY="2346"/>
        <w:tblOverlap w:val="never"/>
        <w:tblW w:w="10347" w:type="dxa"/>
        <w:tblInd w:w="0" w:type="dxa"/>
        <w:tblLayout w:type="fixed"/>
        <w:tblCellMar>
          <w:top w:w="0" w:type="dxa"/>
          <w:left w:w="108" w:type="dxa"/>
          <w:bottom w:w="0" w:type="dxa"/>
          <w:right w:w="108" w:type="dxa"/>
        </w:tblCellMar>
      </w:tblPr>
      <w:tblGrid>
        <w:gridCol w:w="471"/>
        <w:gridCol w:w="1074"/>
        <w:gridCol w:w="1019"/>
        <w:gridCol w:w="4883"/>
        <w:gridCol w:w="492"/>
        <w:gridCol w:w="732"/>
        <w:gridCol w:w="840"/>
        <w:gridCol w:w="836"/>
      </w:tblGrid>
      <w:tr>
        <w:tblPrEx>
          <w:tblCellMar>
            <w:top w:w="0" w:type="dxa"/>
            <w:left w:w="108" w:type="dxa"/>
            <w:bottom w:w="0" w:type="dxa"/>
            <w:right w:w="108" w:type="dxa"/>
          </w:tblCellMar>
        </w:tblPrEx>
        <w:trPr>
          <w:trHeight w:val="746" w:hRule="atLeast"/>
        </w:trPr>
        <w:tc>
          <w:tcPr>
            <w:tcW w:w="471" w:type="dxa"/>
            <w:tcBorders>
              <w:top w:val="single" w:color="auto" w:sz="4" w:space="0"/>
              <w:left w:val="single" w:color="auto" w:sz="4" w:space="0"/>
              <w:bottom w:val="single" w:color="auto" w:sz="4" w:space="0"/>
              <w:right w:val="single" w:color="auto" w:sz="4" w:space="0"/>
            </w:tcBorders>
            <w:noWrap w:val="0"/>
            <w:vAlign w:val="center"/>
          </w:tcPr>
          <w:p>
            <w:pPr>
              <w:widowControl/>
              <w:spacing w:line="340" w:lineRule="exact"/>
              <w:jc w:val="center"/>
              <w:rPr>
                <w:rFonts w:hint="eastAsia" w:ascii="宋体" w:hAnsi="宋体" w:cs="宋体"/>
                <w:b/>
                <w:bCs/>
                <w:color w:val="000000"/>
                <w:kern w:val="0"/>
                <w:szCs w:val="21"/>
              </w:rPr>
            </w:pPr>
            <w:r>
              <w:rPr>
                <w:rFonts w:hint="eastAsia" w:ascii="宋体" w:hAnsi="宋体" w:cs="宋体"/>
                <w:b/>
                <w:bCs/>
                <w:color w:val="000000"/>
                <w:kern w:val="0"/>
                <w:szCs w:val="21"/>
              </w:rPr>
              <w:t>序号</w:t>
            </w:r>
          </w:p>
        </w:tc>
        <w:tc>
          <w:tcPr>
            <w:tcW w:w="1074" w:type="dxa"/>
            <w:tcBorders>
              <w:top w:val="single" w:color="auto" w:sz="4" w:space="0"/>
              <w:left w:val="nil"/>
              <w:bottom w:val="single" w:color="auto" w:sz="4" w:space="0"/>
              <w:right w:val="single" w:color="auto" w:sz="4" w:space="0"/>
            </w:tcBorders>
            <w:noWrap w:val="0"/>
            <w:vAlign w:val="center"/>
          </w:tcPr>
          <w:p>
            <w:pPr>
              <w:widowControl/>
              <w:spacing w:line="340" w:lineRule="exact"/>
              <w:jc w:val="center"/>
              <w:rPr>
                <w:rFonts w:hint="eastAsia" w:ascii="宋体" w:hAnsi="宋体" w:cs="宋体"/>
                <w:b/>
                <w:bCs/>
                <w:color w:val="000000"/>
                <w:kern w:val="0"/>
                <w:szCs w:val="21"/>
              </w:rPr>
            </w:pPr>
            <w:r>
              <w:rPr>
                <w:rFonts w:hint="eastAsia" w:ascii="宋体" w:hAnsi="宋体" w:cs="宋体"/>
                <w:b/>
                <w:bCs/>
                <w:color w:val="000000"/>
                <w:kern w:val="0"/>
                <w:szCs w:val="21"/>
              </w:rPr>
              <w:t>设备名称</w:t>
            </w:r>
          </w:p>
        </w:tc>
        <w:tc>
          <w:tcPr>
            <w:tcW w:w="1019" w:type="dxa"/>
            <w:tcBorders>
              <w:top w:val="single" w:color="auto" w:sz="4" w:space="0"/>
              <w:left w:val="nil"/>
              <w:bottom w:val="single" w:color="auto" w:sz="4" w:space="0"/>
              <w:right w:val="single" w:color="auto" w:sz="4" w:space="0"/>
            </w:tcBorders>
            <w:noWrap w:val="0"/>
            <w:vAlign w:val="center"/>
          </w:tcPr>
          <w:p>
            <w:pPr>
              <w:widowControl/>
              <w:spacing w:line="340" w:lineRule="exact"/>
              <w:jc w:val="center"/>
              <w:rPr>
                <w:rFonts w:hint="eastAsia" w:ascii="宋体" w:hAnsi="宋体" w:cs="宋体"/>
                <w:b/>
                <w:bCs/>
                <w:color w:val="000000"/>
                <w:kern w:val="0"/>
                <w:szCs w:val="21"/>
              </w:rPr>
            </w:pPr>
            <w:r>
              <w:rPr>
                <w:rFonts w:hint="eastAsia" w:ascii="宋体" w:hAnsi="宋体" w:cs="宋体"/>
                <w:b/>
                <w:bCs/>
                <w:color w:val="000000"/>
                <w:kern w:val="0"/>
                <w:szCs w:val="21"/>
              </w:rPr>
              <w:t>品牌</w:t>
            </w:r>
          </w:p>
          <w:p>
            <w:pPr>
              <w:widowControl/>
              <w:spacing w:line="340" w:lineRule="exact"/>
              <w:jc w:val="center"/>
              <w:rPr>
                <w:rFonts w:hint="eastAsia" w:ascii="宋体" w:hAnsi="宋体" w:cs="宋体"/>
                <w:b/>
                <w:bCs/>
                <w:color w:val="000000"/>
                <w:kern w:val="0"/>
                <w:szCs w:val="21"/>
              </w:rPr>
            </w:pPr>
            <w:r>
              <w:rPr>
                <w:rFonts w:hint="eastAsia" w:ascii="宋体" w:hAnsi="宋体" w:cs="宋体"/>
                <w:b/>
                <w:bCs/>
                <w:color w:val="000000"/>
                <w:kern w:val="0"/>
                <w:szCs w:val="21"/>
              </w:rPr>
              <w:t>型号</w:t>
            </w:r>
          </w:p>
        </w:tc>
        <w:tc>
          <w:tcPr>
            <w:tcW w:w="4883" w:type="dxa"/>
            <w:tcBorders>
              <w:top w:val="single" w:color="auto" w:sz="4" w:space="0"/>
              <w:left w:val="nil"/>
              <w:bottom w:val="single" w:color="auto" w:sz="4" w:space="0"/>
              <w:right w:val="single" w:color="auto" w:sz="4" w:space="0"/>
            </w:tcBorders>
            <w:noWrap w:val="0"/>
            <w:vAlign w:val="center"/>
          </w:tcPr>
          <w:p>
            <w:pPr>
              <w:widowControl/>
              <w:spacing w:line="340" w:lineRule="exact"/>
              <w:jc w:val="center"/>
              <w:rPr>
                <w:rFonts w:hint="eastAsia" w:ascii="宋体" w:hAnsi="宋体" w:cs="宋体"/>
                <w:b/>
                <w:bCs/>
                <w:color w:val="000000"/>
                <w:kern w:val="0"/>
                <w:szCs w:val="21"/>
              </w:rPr>
            </w:pPr>
            <w:r>
              <w:rPr>
                <w:rFonts w:hint="eastAsia" w:ascii="宋体" w:hAnsi="宋体" w:cs="宋体"/>
                <w:b/>
                <w:bCs/>
                <w:color w:val="000000"/>
                <w:kern w:val="0"/>
                <w:szCs w:val="21"/>
              </w:rPr>
              <w:t>主 要 参 数</w:t>
            </w:r>
          </w:p>
        </w:tc>
        <w:tc>
          <w:tcPr>
            <w:tcW w:w="492" w:type="dxa"/>
            <w:tcBorders>
              <w:top w:val="single" w:color="auto" w:sz="4" w:space="0"/>
              <w:left w:val="nil"/>
              <w:bottom w:val="single" w:color="auto" w:sz="4" w:space="0"/>
              <w:right w:val="single" w:color="auto" w:sz="4" w:space="0"/>
            </w:tcBorders>
            <w:noWrap w:val="0"/>
            <w:vAlign w:val="center"/>
          </w:tcPr>
          <w:p>
            <w:pPr>
              <w:widowControl/>
              <w:spacing w:line="340" w:lineRule="exact"/>
              <w:jc w:val="center"/>
              <w:rPr>
                <w:rFonts w:hint="eastAsia" w:ascii="宋体" w:hAnsi="宋体" w:cs="宋体"/>
                <w:b/>
                <w:bCs/>
                <w:color w:val="000000"/>
                <w:kern w:val="0"/>
                <w:szCs w:val="21"/>
              </w:rPr>
            </w:pPr>
            <w:r>
              <w:rPr>
                <w:rFonts w:hint="eastAsia" w:ascii="宋体" w:hAnsi="宋体" w:cs="宋体"/>
                <w:b/>
                <w:bCs/>
                <w:color w:val="000000"/>
                <w:kern w:val="0"/>
                <w:szCs w:val="21"/>
              </w:rPr>
              <w:t>单位</w:t>
            </w:r>
          </w:p>
        </w:tc>
        <w:tc>
          <w:tcPr>
            <w:tcW w:w="732" w:type="dxa"/>
            <w:tcBorders>
              <w:top w:val="single" w:color="auto" w:sz="4" w:space="0"/>
              <w:left w:val="nil"/>
              <w:bottom w:val="single" w:color="auto" w:sz="4" w:space="0"/>
              <w:right w:val="single" w:color="auto" w:sz="4" w:space="0"/>
            </w:tcBorders>
            <w:noWrap w:val="0"/>
            <w:vAlign w:val="center"/>
          </w:tcPr>
          <w:p>
            <w:pPr>
              <w:widowControl/>
              <w:spacing w:line="340" w:lineRule="exact"/>
              <w:jc w:val="center"/>
              <w:rPr>
                <w:rFonts w:hint="eastAsia" w:ascii="宋体" w:hAnsi="宋体" w:cs="宋体"/>
                <w:b/>
                <w:bCs/>
                <w:color w:val="000000"/>
                <w:kern w:val="0"/>
                <w:szCs w:val="21"/>
              </w:rPr>
            </w:pPr>
            <w:r>
              <w:rPr>
                <w:rFonts w:hint="eastAsia" w:ascii="宋体" w:hAnsi="宋体" w:cs="宋体"/>
                <w:b/>
                <w:bCs/>
                <w:color w:val="000000"/>
                <w:kern w:val="0"/>
                <w:szCs w:val="21"/>
              </w:rPr>
              <w:t>暂定数量</w:t>
            </w:r>
          </w:p>
        </w:tc>
        <w:tc>
          <w:tcPr>
            <w:tcW w:w="840" w:type="dxa"/>
            <w:tcBorders>
              <w:top w:val="single" w:color="auto" w:sz="4" w:space="0"/>
              <w:left w:val="nil"/>
              <w:bottom w:val="single" w:color="auto" w:sz="4" w:space="0"/>
              <w:right w:val="single" w:color="auto" w:sz="4" w:space="0"/>
            </w:tcBorders>
            <w:noWrap w:val="0"/>
            <w:vAlign w:val="center"/>
          </w:tcPr>
          <w:p>
            <w:pPr>
              <w:widowControl/>
              <w:spacing w:line="340" w:lineRule="exact"/>
              <w:jc w:val="center"/>
              <w:rPr>
                <w:rFonts w:hint="eastAsia" w:ascii="宋体" w:hAnsi="宋体" w:cs="宋体"/>
                <w:b/>
                <w:bCs/>
                <w:color w:val="000000"/>
                <w:kern w:val="0"/>
                <w:szCs w:val="21"/>
              </w:rPr>
            </w:pPr>
            <w:r>
              <w:rPr>
                <w:rFonts w:hint="eastAsia" w:ascii="宋体" w:hAnsi="宋体" w:cs="宋体"/>
                <w:b/>
                <w:bCs/>
                <w:color w:val="000000"/>
                <w:kern w:val="0"/>
                <w:szCs w:val="21"/>
              </w:rPr>
              <w:t>含税单价（元）</w:t>
            </w:r>
          </w:p>
        </w:tc>
        <w:tc>
          <w:tcPr>
            <w:tcW w:w="836" w:type="dxa"/>
            <w:tcBorders>
              <w:top w:val="single" w:color="auto" w:sz="4" w:space="0"/>
              <w:left w:val="nil"/>
              <w:bottom w:val="single" w:color="auto" w:sz="4" w:space="0"/>
              <w:right w:val="single" w:color="auto" w:sz="4" w:space="0"/>
            </w:tcBorders>
            <w:noWrap w:val="0"/>
            <w:vAlign w:val="center"/>
          </w:tcPr>
          <w:p>
            <w:pPr>
              <w:widowControl/>
              <w:spacing w:line="340" w:lineRule="exact"/>
              <w:jc w:val="center"/>
              <w:rPr>
                <w:rFonts w:hint="eastAsia" w:ascii="宋体" w:hAnsi="宋体" w:cs="宋体"/>
                <w:b/>
                <w:bCs/>
                <w:color w:val="000000"/>
                <w:kern w:val="0"/>
                <w:szCs w:val="21"/>
              </w:rPr>
            </w:pPr>
            <w:r>
              <w:rPr>
                <w:rFonts w:hint="eastAsia" w:ascii="宋体" w:hAnsi="宋体" w:cs="宋体"/>
                <w:b/>
                <w:bCs/>
                <w:color w:val="000000"/>
                <w:kern w:val="0"/>
                <w:szCs w:val="21"/>
              </w:rPr>
              <w:t>含税</w:t>
            </w:r>
          </w:p>
          <w:p>
            <w:pPr>
              <w:widowControl/>
              <w:spacing w:line="340" w:lineRule="exact"/>
              <w:jc w:val="center"/>
              <w:rPr>
                <w:rFonts w:hint="eastAsia" w:ascii="宋体" w:hAnsi="宋体" w:cs="宋体"/>
                <w:b/>
                <w:bCs/>
                <w:color w:val="000000"/>
                <w:kern w:val="0"/>
                <w:szCs w:val="21"/>
              </w:rPr>
            </w:pPr>
            <w:r>
              <w:rPr>
                <w:rFonts w:hint="eastAsia" w:ascii="宋体" w:hAnsi="宋体" w:cs="宋体"/>
                <w:b/>
                <w:bCs/>
                <w:color w:val="000000"/>
                <w:kern w:val="0"/>
                <w:szCs w:val="21"/>
              </w:rPr>
              <w:t xml:space="preserve">金额 （元） </w:t>
            </w:r>
          </w:p>
        </w:tc>
      </w:tr>
      <w:tr>
        <w:tblPrEx>
          <w:tblCellMar>
            <w:top w:w="0" w:type="dxa"/>
            <w:left w:w="108" w:type="dxa"/>
            <w:bottom w:w="0" w:type="dxa"/>
            <w:right w:w="108" w:type="dxa"/>
          </w:tblCellMar>
        </w:tblPrEx>
        <w:trPr>
          <w:trHeight w:val="567" w:hRule="atLeast"/>
        </w:trPr>
        <w:tc>
          <w:tcPr>
            <w:tcW w:w="471" w:type="dxa"/>
            <w:tcBorders>
              <w:top w:val="nil"/>
              <w:left w:val="single" w:color="auto" w:sz="4" w:space="0"/>
              <w:bottom w:val="single" w:color="auto" w:sz="4" w:space="0"/>
              <w:right w:val="single" w:color="auto" w:sz="4" w:space="0"/>
            </w:tcBorders>
            <w:shd w:val="clear" w:color="000000" w:fill="FFFFFF"/>
            <w:noWrap w:val="0"/>
            <w:vAlign w:val="center"/>
          </w:tcPr>
          <w:p>
            <w:pPr>
              <w:widowControl/>
              <w:spacing w:line="340" w:lineRule="exact"/>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w:t>
            </w:r>
          </w:p>
        </w:tc>
        <w:tc>
          <w:tcPr>
            <w:tcW w:w="1074" w:type="dxa"/>
            <w:tcBorders>
              <w:top w:val="nil"/>
              <w:left w:val="nil"/>
              <w:bottom w:val="single" w:color="auto" w:sz="4" w:space="0"/>
              <w:right w:val="single" w:color="auto" w:sz="4" w:space="0"/>
            </w:tcBorders>
            <w:shd w:val="clear" w:color="auto" w:fill="auto"/>
            <w:noWrap w:val="0"/>
            <w:vAlign w:val="center"/>
          </w:tcPr>
          <w:p>
            <w:pPr>
              <w:widowControl/>
              <w:spacing w:line="340" w:lineRule="exact"/>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惠普商用电脑（台式机）</w:t>
            </w:r>
          </w:p>
        </w:tc>
        <w:tc>
          <w:tcPr>
            <w:tcW w:w="1019"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HP Pro Tower 288 G9 PCI DesktopPC</w:t>
            </w:r>
            <w:r>
              <w:rPr>
                <w:rFonts w:hint="eastAsia" w:ascii="仿宋_GB2312" w:hAnsi="仿宋_GB2312" w:eastAsia="仿宋_GB2312" w:cs="仿宋_GB2312"/>
                <w:color w:val="000000"/>
                <w:kern w:val="0"/>
                <w:sz w:val="21"/>
                <w:szCs w:val="21"/>
              </w:rPr>
              <w:t>/</w:t>
            </w:r>
          </w:p>
          <w:p>
            <w:pPr>
              <w:widowControl/>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 xml:space="preserve">显示器：HP </w:t>
            </w:r>
          </w:p>
          <w:p>
            <w:pPr>
              <w:widowControl/>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P27 G5</w:t>
            </w:r>
          </w:p>
          <w:p>
            <w:pPr>
              <w:widowControl/>
              <w:spacing w:line="340" w:lineRule="exact"/>
              <w:jc w:val="center"/>
              <w:rPr>
                <w:rFonts w:hint="eastAsia" w:ascii="仿宋_GB2312" w:hAnsi="仿宋_GB2312" w:eastAsia="仿宋_GB2312" w:cs="仿宋_GB2312"/>
                <w:color w:val="000000"/>
                <w:kern w:val="0"/>
                <w:sz w:val="21"/>
                <w:szCs w:val="21"/>
              </w:rPr>
            </w:pPr>
          </w:p>
        </w:tc>
        <w:tc>
          <w:tcPr>
            <w:tcW w:w="4883" w:type="dxa"/>
            <w:tcBorders>
              <w:top w:val="nil"/>
              <w:left w:val="nil"/>
              <w:bottom w:val="single" w:color="auto" w:sz="4" w:space="0"/>
              <w:right w:val="single" w:color="auto" w:sz="4" w:space="0"/>
            </w:tcBorders>
            <w:shd w:val="clear" w:color="000000" w:fill="FFFFFF"/>
            <w:noWrap w:val="0"/>
            <w:vAlign w:val="center"/>
          </w:tcPr>
          <w:p>
            <w:pPr>
              <w:widowControl/>
              <w:numPr>
                <w:ilvl w:val="0"/>
                <w:numId w:val="0"/>
              </w:numPr>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val="en-US" w:eastAsia="zh-CN" w:bidi="ar"/>
              </w:rPr>
              <w:t>1、</w:t>
            </w:r>
            <w:r>
              <w:rPr>
                <w:rFonts w:hint="eastAsia" w:ascii="仿宋_GB2312" w:hAnsi="仿宋_GB2312" w:eastAsia="仿宋_GB2312" w:cs="仿宋_GB2312"/>
                <w:color w:val="000000"/>
                <w:kern w:val="0"/>
                <w:sz w:val="21"/>
                <w:szCs w:val="21"/>
                <w:lang w:bidi="ar"/>
              </w:rPr>
              <w:t>HP Pro Tower 288 G9 PCI DesktopPC/显示器:HP P27</w:t>
            </w:r>
            <w:r>
              <w:rPr>
                <w:rFonts w:hint="eastAsia" w:ascii="仿宋_GB2312" w:hAnsi="仿宋_GB2312" w:eastAsia="仿宋_GB2312" w:cs="仿宋_GB2312"/>
                <w:color w:val="000000"/>
                <w:kern w:val="0"/>
                <w:sz w:val="21"/>
                <w:szCs w:val="21"/>
                <w:lang w:val="en-US" w:eastAsia="zh-CN" w:bidi="ar"/>
              </w:rPr>
              <w:t xml:space="preserve"> </w:t>
            </w:r>
            <w:r>
              <w:rPr>
                <w:rFonts w:hint="eastAsia" w:ascii="仿宋_GB2312" w:hAnsi="仿宋_GB2312" w:eastAsia="仿宋_GB2312" w:cs="仿宋_GB2312"/>
                <w:color w:val="000000"/>
                <w:kern w:val="0"/>
                <w:sz w:val="21"/>
                <w:szCs w:val="21"/>
                <w:lang w:bidi="ar"/>
              </w:rPr>
              <w:t xml:space="preserve"> G5 主板:INTEL H670:具有计算机系统优化机技术《已提供原厂盖章证明资料) ；</w:t>
            </w:r>
          </w:p>
          <w:p>
            <w:pPr>
              <w:widowControl/>
              <w:numPr>
                <w:ilvl w:val="0"/>
                <w:numId w:val="0"/>
              </w:numPr>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val="en-US" w:eastAsia="zh-CN" w:bidi="ar"/>
              </w:rPr>
              <w:t>2、</w:t>
            </w:r>
            <w:r>
              <w:rPr>
                <w:rFonts w:hint="eastAsia" w:ascii="仿宋_GB2312" w:hAnsi="仿宋_GB2312" w:eastAsia="仿宋_GB2312" w:cs="仿宋_GB2312"/>
                <w:color w:val="000000"/>
                <w:kern w:val="0"/>
                <w:sz w:val="21"/>
                <w:szCs w:val="21"/>
                <w:lang w:bidi="ar"/>
              </w:rPr>
              <w:t>处理器:英特尔第十代酷睿处理器，New Core i5-12500主频 3.0GHz 基准频率，核心 6 核；</w:t>
            </w:r>
          </w:p>
          <w:p>
            <w:pPr>
              <w:widowControl/>
              <w:numPr>
                <w:ilvl w:val="0"/>
                <w:numId w:val="0"/>
              </w:numPr>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val="en-US" w:eastAsia="zh-CN" w:bidi="ar"/>
              </w:rPr>
              <w:t>3、</w:t>
            </w:r>
            <w:r>
              <w:rPr>
                <w:rFonts w:hint="eastAsia" w:ascii="仿宋_GB2312" w:hAnsi="仿宋_GB2312" w:eastAsia="仿宋_GB2312" w:cs="仿宋_GB2312"/>
                <w:color w:val="000000"/>
                <w:kern w:val="0"/>
                <w:sz w:val="21"/>
                <w:szCs w:val="21"/>
                <w:lang w:bidi="ar"/>
              </w:rPr>
              <w:t>缓存器:16GB DDR4 2933MHz 可用内存;支持 64GDDR4 内存;支持傲腾内存；</w:t>
            </w:r>
          </w:p>
          <w:p>
            <w:pPr>
              <w:widowControl/>
              <w:numPr>
                <w:ilvl w:val="0"/>
                <w:numId w:val="0"/>
              </w:numPr>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val="en-US" w:eastAsia="zh-CN" w:bidi="ar"/>
              </w:rPr>
              <w:t>4、</w:t>
            </w:r>
            <w:r>
              <w:rPr>
                <w:rFonts w:hint="eastAsia" w:ascii="仿宋_GB2312" w:hAnsi="仿宋_GB2312" w:eastAsia="仿宋_GB2312" w:cs="仿宋_GB2312"/>
                <w:color w:val="000000"/>
                <w:kern w:val="0"/>
                <w:sz w:val="21"/>
                <w:szCs w:val="21"/>
                <w:lang w:bidi="ar"/>
              </w:rPr>
              <w:t>存储器:512G PCIe NVMe SSD 硬盘；</w:t>
            </w:r>
          </w:p>
          <w:p>
            <w:pPr>
              <w:widowControl/>
              <w:numPr>
                <w:ilvl w:val="0"/>
                <w:numId w:val="0"/>
              </w:numPr>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val="en-US" w:eastAsia="zh-CN" w:bidi="ar"/>
              </w:rPr>
              <w:t>5、</w:t>
            </w:r>
            <w:r>
              <w:rPr>
                <w:rFonts w:hint="eastAsia" w:ascii="仿宋_GB2312" w:hAnsi="仿宋_GB2312" w:eastAsia="仿宋_GB2312" w:cs="仿宋_GB2312"/>
                <w:color w:val="000000"/>
                <w:kern w:val="0"/>
                <w:sz w:val="21"/>
                <w:szCs w:val="21"/>
                <w:lang w:bidi="ar"/>
              </w:rPr>
              <w:t>扩展性能:原厂可按需支持 USB接口 10个;前面板6个USB3.2:2个 PCIe 插槽:可定制内置 WIFI6双频无线网卡+蓝牙;内置并行端口和 PS /2 端口；</w:t>
            </w:r>
          </w:p>
          <w:p>
            <w:pPr>
              <w:widowControl/>
              <w:numPr>
                <w:ilvl w:val="0"/>
                <w:numId w:val="0"/>
              </w:numPr>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val="en-US" w:eastAsia="zh-CN" w:bidi="ar"/>
              </w:rPr>
              <w:t>6、</w:t>
            </w:r>
            <w:r>
              <w:rPr>
                <w:rFonts w:hint="eastAsia" w:ascii="仿宋_GB2312" w:hAnsi="仿宋_GB2312" w:eastAsia="仿宋_GB2312" w:cs="仿宋_GB2312"/>
                <w:color w:val="000000"/>
                <w:kern w:val="0"/>
                <w:sz w:val="21"/>
                <w:szCs w:val="21"/>
                <w:lang w:bidi="ar"/>
              </w:rPr>
              <w:t>端口及输入设备:多合一读卡器，专业编解码器，通用音频插孔(3.5 毫米，同一插孔可支持麦克风或耳机或CTIA 耳麦)，支持多音频流，内置音响系统:串行端口;HDMI 及 VGA视频可同时输出接口;USB 防水并通过 SGS 专业抗菌认证键盘鼠标；</w:t>
            </w:r>
          </w:p>
          <w:p>
            <w:pPr>
              <w:widowControl/>
              <w:numPr>
                <w:ilvl w:val="0"/>
                <w:numId w:val="0"/>
              </w:numPr>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val="en-US" w:eastAsia="zh-CN" w:bidi="ar"/>
              </w:rPr>
              <w:t>7、</w:t>
            </w:r>
            <w:r>
              <w:rPr>
                <w:rFonts w:hint="eastAsia" w:ascii="仿宋_GB2312" w:hAnsi="仿宋_GB2312" w:eastAsia="仿宋_GB2312" w:cs="仿宋_GB2312"/>
                <w:color w:val="000000"/>
                <w:kern w:val="0"/>
                <w:sz w:val="21"/>
                <w:szCs w:val="21"/>
                <w:lang w:bidi="ar"/>
              </w:rPr>
              <w:t>内部供电器:能效高达 90%的180W 防雷电源；</w:t>
            </w:r>
          </w:p>
          <w:p>
            <w:pPr>
              <w:widowControl/>
              <w:numPr>
                <w:ilvl w:val="0"/>
                <w:numId w:val="0"/>
              </w:numPr>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val="en-US" w:eastAsia="zh-CN" w:bidi="ar"/>
              </w:rPr>
              <w:t>8、</w:t>
            </w:r>
            <w:r>
              <w:rPr>
                <w:rFonts w:hint="eastAsia" w:ascii="仿宋_GB2312" w:hAnsi="仿宋_GB2312" w:eastAsia="仿宋_GB2312" w:cs="仿宋_GB2312"/>
                <w:color w:val="000000"/>
                <w:kern w:val="0"/>
                <w:sz w:val="21"/>
                <w:szCs w:val="21"/>
                <w:lang w:bidi="ar"/>
              </w:rPr>
              <w:t>箱体设计和安全性;考愿场地和安全稳定性机箱15.8升、尾部集成线缆固定装置机箱印制板V-0 级、外壳 HB 级:通过多向风扇技术降低运行噪音声压低于 10.5dB(已提供原广盖章证明资料),固件级别自动化可确保高效工作和减少岩机时间，自动更新和安全性检查可让电脑获得额外性能和保护;设置可启/禁用 SATA端口、串口、并口及 USB 接口，支持四合一安全锁；</w:t>
            </w:r>
          </w:p>
          <w:p>
            <w:pPr>
              <w:widowControl/>
              <w:numPr>
                <w:ilvl w:val="0"/>
                <w:numId w:val="0"/>
              </w:numPr>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val="en-US" w:eastAsia="zh-CN" w:bidi="ar"/>
              </w:rPr>
              <w:t>9、</w:t>
            </w:r>
            <w:r>
              <w:rPr>
                <w:rFonts w:hint="eastAsia" w:ascii="仿宋_GB2312" w:hAnsi="仿宋_GB2312" w:eastAsia="仿宋_GB2312" w:cs="仿宋_GB2312"/>
                <w:color w:val="000000"/>
                <w:kern w:val="0"/>
                <w:sz w:val="21"/>
                <w:szCs w:val="21"/>
                <w:lang w:bidi="ar"/>
              </w:rPr>
              <w:t>应用软件:出预装正版 win11 操作系统，预装高级性能调优软件通过手机APP 即可查看管理电脑的运行情况及添加打印机打印等设备和应用，优化视频和网络访问等;具备增量拷贝、断点续传、智能故障定位、网络同传和数据传输加密功能；</w:t>
            </w:r>
          </w:p>
          <w:p>
            <w:pPr>
              <w:widowControl/>
              <w:numPr>
                <w:ilvl w:val="0"/>
                <w:numId w:val="0"/>
              </w:numPr>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bidi="ar"/>
              </w:rPr>
              <w:t>10、</w:t>
            </w:r>
            <w:r>
              <w:rPr>
                <w:rFonts w:hint="eastAsia" w:ascii="仿宋_GB2312" w:hAnsi="仿宋_GB2312" w:eastAsia="仿宋_GB2312" w:cs="仿宋_GB2312"/>
                <w:color w:val="000000"/>
                <w:kern w:val="0"/>
                <w:sz w:val="21"/>
                <w:szCs w:val="21"/>
                <w:lang w:bidi="ar"/>
              </w:rPr>
              <w:t>显卡及显示器: 集成显卡; 27“IPS 宽屏 16:9 LED 背光液晶显示器， VGA ,HDMI1.4,</w:t>
            </w:r>
            <w:r>
              <w:rPr>
                <w:rFonts w:hint="eastAsia" w:ascii="仿宋_GB2312" w:hAnsi="仿宋_GB2312" w:eastAsia="仿宋_GB2312" w:cs="仿宋_GB2312"/>
                <w:color w:val="000000"/>
                <w:kern w:val="0"/>
                <w:sz w:val="21"/>
                <w:szCs w:val="21"/>
                <w:lang w:val="en-US" w:eastAsia="zh-CN" w:bidi="ar"/>
              </w:rPr>
              <w:t>DP 1.2</w:t>
            </w:r>
            <w:r>
              <w:rPr>
                <w:rFonts w:hint="eastAsia" w:ascii="仿宋_GB2312" w:hAnsi="仿宋_GB2312" w:eastAsia="仿宋_GB2312" w:cs="仿宋_GB2312"/>
                <w:color w:val="000000"/>
                <w:kern w:val="0"/>
                <w:sz w:val="21"/>
                <w:szCs w:val="21"/>
                <w:lang w:bidi="ar"/>
              </w:rPr>
              <w:t>接口， TUV 低蓝光认证显示器。</w:t>
            </w:r>
          </w:p>
        </w:tc>
        <w:tc>
          <w:tcPr>
            <w:tcW w:w="492" w:type="dxa"/>
            <w:tcBorders>
              <w:top w:val="nil"/>
              <w:left w:val="nil"/>
              <w:bottom w:val="single" w:color="auto" w:sz="4" w:space="0"/>
              <w:right w:val="single" w:color="auto" w:sz="4" w:space="0"/>
            </w:tcBorders>
            <w:shd w:val="clear" w:color="000000" w:fill="FFFFFF"/>
            <w:noWrap w:val="0"/>
            <w:vAlign w:val="center"/>
          </w:tcPr>
          <w:p>
            <w:pPr>
              <w:widowControl/>
              <w:spacing w:line="340" w:lineRule="exact"/>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套</w:t>
            </w:r>
          </w:p>
        </w:tc>
        <w:tc>
          <w:tcPr>
            <w:tcW w:w="732" w:type="dxa"/>
            <w:tcBorders>
              <w:top w:val="nil"/>
              <w:left w:val="nil"/>
              <w:bottom w:val="single" w:color="auto" w:sz="4" w:space="0"/>
              <w:right w:val="single" w:color="auto" w:sz="4" w:space="0"/>
            </w:tcBorders>
            <w:shd w:val="clear" w:color="auto" w:fill="auto"/>
            <w:noWrap w:val="0"/>
            <w:vAlign w:val="center"/>
          </w:tcPr>
          <w:p>
            <w:pPr>
              <w:widowControl/>
              <w:spacing w:line="340" w:lineRule="exact"/>
              <w:jc w:val="center"/>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1</w:t>
            </w:r>
            <w:r>
              <w:rPr>
                <w:rFonts w:hint="eastAsia" w:ascii="仿宋_GB2312" w:hAnsi="仿宋_GB2312" w:eastAsia="仿宋_GB2312" w:cs="仿宋_GB2312"/>
                <w:color w:val="000000"/>
                <w:kern w:val="0"/>
                <w:sz w:val="21"/>
                <w:szCs w:val="21"/>
                <w:lang w:val="en-US" w:eastAsia="zh-CN"/>
              </w:rPr>
              <w:t>5</w:t>
            </w:r>
          </w:p>
        </w:tc>
        <w:tc>
          <w:tcPr>
            <w:tcW w:w="840" w:type="dxa"/>
            <w:tcBorders>
              <w:top w:val="nil"/>
              <w:left w:val="nil"/>
              <w:bottom w:val="single" w:color="auto" w:sz="4" w:space="0"/>
              <w:right w:val="single" w:color="auto" w:sz="4" w:space="0"/>
            </w:tcBorders>
            <w:shd w:val="clear" w:color="000000" w:fill="FFFFFF"/>
            <w:noWrap w:val="0"/>
            <w:vAlign w:val="center"/>
          </w:tcPr>
          <w:p>
            <w:pPr>
              <w:widowControl/>
              <w:spacing w:line="340" w:lineRule="exact"/>
              <w:jc w:val="center"/>
              <w:rPr>
                <w:rFonts w:hint="eastAsia" w:ascii="仿宋_GB2312" w:hAnsi="仿宋_GB2312" w:eastAsia="仿宋_GB2312" w:cs="仿宋_GB2312"/>
                <w:color w:val="000000"/>
                <w:kern w:val="0"/>
                <w:sz w:val="21"/>
                <w:szCs w:val="21"/>
                <w:lang w:val="en-US" w:eastAsia="zh-CN"/>
              </w:rPr>
            </w:pPr>
          </w:p>
        </w:tc>
        <w:tc>
          <w:tcPr>
            <w:tcW w:w="836" w:type="dxa"/>
            <w:tcBorders>
              <w:top w:val="nil"/>
              <w:left w:val="nil"/>
              <w:bottom w:val="single" w:color="auto" w:sz="4" w:space="0"/>
              <w:right w:val="single" w:color="auto" w:sz="4" w:space="0"/>
            </w:tcBorders>
            <w:noWrap w:val="0"/>
            <w:vAlign w:val="center"/>
          </w:tcPr>
          <w:p>
            <w:pPr>
              <w:widowControl/>
              <w:spacing w:line="340" w:lineRule="exact"/>
              <w:jc w:val="center"/>
              <w:rPr>
                <w:rFonts w:hint="eastAsia" w:ascii="仿宋_GB2312" w:hAnsi="仿宋_GB2312" w:eastAsia="仿宋_GB2312" w:cs="仿宋_GB2312"/>
                <w:color w:val="000000"/>
                <w:kern w:val="0"/>
                <w:sz w:val="21"/>
                <w:szCs w:val="21"/>
                <w:lang w:val="en-US" w:eastAsia="zh-CN"/>
              </w:rPr>
            </w:pPr>
          </w:p>
        </w:tc>
      </w:tr>
      <w:tr>
        <w:tblPrEx>
          <w:tblCellMar>
            <w:top w:w="0" w:type="dxa"/>
            <w:left w:w="108" w:type="dxa"/>
            <w:bottom w:w="0" w:type="dxa"/>
            <w:right w:w="108" w:type="dxa"/>
          </w:tblCellMar>
        </w:tblPrEx>
        <w:trPr>
          <w:trHeight w:val="567" w:hRule="atLeast"/>
        </w:trPr>
        <w:tc>
          <w:tcPr>
            <w:tcW w:w="471" w:type="dxa"/>
            <w:tcBorders>
              <w:top w:val="nil"/>
              <w:left w:val="single" w:color="auto" w:sz="4" w:space="0"/>
              <w:bottom w:val="single" w:color="auto" w:sz="4" w:space="0"/>
              <w:right w:val="single" w:color="auto" w:sz="4" w:space="0"/>
            </w:tcBorders>
            <w:shd w:val="clear" w:color="000000" w:fill="FFFFFF"/>
            <w:noWrap w:val="0"/>
            <w:vAlign w:val="center"/>
          </w:tcPr>
          <w:p>
            <w:pPr>
              <w:widowControl/>
              <w:spacing w:line="340" w:lineRule="exact"/>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w:t>
            </w:r>
          </w:p>
        </w:tc>
        <w:tc>
          <w:tcPr>
            <w:tcW w:w="1074" w:type="dxa"/>
            <w:tcBorders>
              <w:top w:val="nil"/>
              <w:left w:val="nil"/>
              <w:bottom w:val="single" w:color="auto" w:sz="4" w:space="0"/>
              <w:right w:val="single" w:color="auto" w:sz="4" w:space="0"/>
            </w:tcBorders>
            <w:shd w:val="clear" w:color="auto" w:fill="auto"/>
            <w:noWrap w:val="0"/>
            <w:vAlign w:val="center"/>
          </w:tcPr>
          <w:p>
            <w:pPr>
              <w:widowControl/>
              <w:spacing w:line="340" w:lineRule="exact"/>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惠普商用笔记本</w:t>
            </w:r>
          </w:p>
        </w:tc>
        <w:tc>
          <w:tcPr>
            <w:tcW w:w="1019" w:type="dxa"/>
            <w:tcBorders>
              <w:top w:val="nil"/>
              <w:left w:val="nil"/>
              <w:bottom w:val="single" w:color="auto" w:sz="4" w:space="0"/>
              <w:right w:val="single" w:color="auto" w:sz="4" w:space="0"/>
            </w:tcBorders>
            <w:shd w:val="clear" w:color="000000" w:fill="FFFFFF"/>
            <w:noWrap w:val="0"/>
            <w:vAlign w:val="center"/>
          </w:tcPr>
          <w:p>
            <w:pPr>
              <w:widowControl/>
              <w:spacing w:line="340" w:lineRule="exact"/>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Probook440 G9</w:t>
            </w:r>
          </w:p>
        </w:tc>
        <w:tc>
          <w:tcPr>
            <w:tcW w:w="4883"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HP Probook440 G9</w:t>
            </w:r>
          </w:p>
          <w:p>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bidi="ar"/>
              </w:rPr>
              <w:t>商用笔记本 14 英寸 I5-1235U 16G512GSSD 集显，出厂预装正版 win11操作系统，支持 180 度开合，1 年保修，配原厂背包、无线鼠标</w:t>
            </w:r>
            <w:r>
              <w:rPr>
                <w:rFonts w:hint="eastAsia" w:ascii="仿宋_GB2312" w:hAnsi="仿宋_GB2312" w:eastAsia="仿宋_GB2312" w:cs="仿宋_GB2312"/>
                <w:color w:val="000000"/>
                <w:kern w:val="0"/>
                <w:sz w:val="21"/>
                <w:szCs w:val="21"/>
              </w:rPr>
              <w:t xml:space="preserve"> </w:t>
            </w:r>
          </w:p>
        </w:tc>
        <w:tc>
          <w:tcPr>
            <w:tcW w:w="492" w:type="dxa"/>
            <w:tcBorders>
              <w:top w:val="nil"/>
              <w:left w:val="nil"/>
              <w:bottom w:val="single" w:color="auto" w:sz="4" w:space="0"/>
              <w:right w:val="single" w:color="auto" w:sz="4" w:space="0"/>
            </w:tcBorders>
            <w:shd w:val="clear" w:color="000000" w:fill="FFFFFF"/>
            <w:noWrap w:val="0"/>
            <w:vAlign w:val="center"/>
          </w:tcPr>
          <w:p>
            <w:pPr>
              <w:widowControl/>
              <w:spacing w:line="340" w:lineRule="exact"/>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套</w:t>
            </w:r>
          </w:p>
        </w:tc>
        <w:tc>
          <w:tcPr>
            <w:tcW w:w="732" w:type="dxa"/>
            <w:tcBorders>
              <w:top w:val="nil"/>
              <w:left w:val="nil"/>
              <w:bottom w:val="single" w:color="auto" w:sz="4" w:space="0"/>
              <w:right w:val="single" w:color="auto" w:sz="4" w:space="0"/>
            </w:tcBorders>
            <w:shd w:val="clear" w:color="auto" w:fill="auto"/>
            <w:noWrap w:val="0"/>
            <w:vAlign w:val="center"/>
          </w:tcPr>
          <w:p>
            <w:pPr>
              <w:widowControl/>
              <w:spacing w:line="340" w:lineRule="exact"/>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1</w:t>
            </w:r>
            <w:r>
              <w:rPr>
                <w:rFonts w:hint="eastAsia" w:ascii="仿宋_GB2312" w:hAnsi="仿宋_GB2312" w:eastAsia="仿宋_GB2312" w:cs="仿宋_GB2312"/>
                <w:color w:val="000000"/>
                <w:kern w:val="0"/>
                <w:sz w:val="21"/>
                <w:szCs w:val="21"/>
              </w:rPr>
              <w:t>5</w:t>
            </w:r>
          </w:p>
        </w:tc>
        <w:tc>
          <w:tcPr>
            <w:tcW w:w="840" w:type="dxa"/>
            <w:tcBorders>
              <w:top w:val="nil"/>
              <w:left w:val="nil"/>
              <w:bottom w:val="single" w:color="auto" w:sz="4" w:space="0"/>
              <w:right w:val="single" w:color="auto" w:sz="4" w:space="0"/>
            </w:tcBorders>
            <w:shd w:val="clear" w:color="000000" w:fill="FFFFFF"/>
            <w:noWrap w:val="0"/>
            <w:vAlign w:val="center"/>
          </w:tcPr>
          <w:p>
            <w:pPr>
              <w:widowControl/>
              <w:spacing w:line="340" w:lineRule="exact"/>
              <w:jc w:val="center"/>
              <w:rPr>
                <w:rFonts w:hint="eastAsia" w:ascii="仿宋_GB2312" w:hAnsi="仿宋_GB2312" w:eastAsia="仿宋_GB2312" w:cs="仿宋_GB2312"/>
                <w:color w:val="000000"/>
                <w:kern w:val="0"/>
                <w:sz w:val="21"/>
                <w:szCs w:val="21"/>
              </w:rPr>
            </w:pPr>
          </w:p>
        </w:tc>
        <w:tc>
          <w:tcPr>
            <w:tcW w:w="836" w:type="dxa"/>
            <w:tcBorders>
              <w:top w:val="nil"/>
              <w:left w:val="nil"/>
              <w:bottom w:val="single" w:color="auto" w:sz="4" w:space="0"/>
              <w:right w:val="single" w:color="auto" w:sz="4" w:space="0"/>
            </w:tcBorders>
            <w:noWrap w:val="0"/>
            <w:vAlign w:val="center"/>
          </w:tcPr>
          <w:p>
            <w:pPr>
              <w:widowControl/>
              <w:spacing w:line="340" w:lineRule="exact"/>
              <w:jc w:val="center"/>
              <w:rPr>
                <w:rFonts w:hint="eastAsia" w:ascii="仿宋_GB2312" w:hAnsi="仿宋_GB2312" w:eastAsia="仿宋_GB2312" w:cs="仿宋_GB2312"/>
                <w:color w:val="000000"/>
                <w:kern w:val="0"/>
                <w:sz w:val="21"/>
                <w:szCs w:val="21"/>
                <w:lang w:val="en-US" w:eastAsia="zh-CN"/>
              </w:rPr>
            </w:pPr>
          </w:p>
        </w:tc>
      </w:tr>
      <w:tr>
        <w:tblPrEx>
          <w:tblCellMar>
            <w:top w:w="0" w:type="dxa"/>
            <w:left w:w="108" w:type="dxa"/>
            <w:bottom w:w="0" w:type="dxa"/>
            <w:right w:w="108" w:type="dxa"/>
          </w:tblCellMar>
        </w:tblPrEx>
        <w:trPr>
          <w:trHeight w:val="567" w:hRule="atLeast"/>
        </w:trPr>
        <w:tc>
          <w:tcPr>
            <w:tcW w:w="8671" w:type="dxa"/>
            <w:gridSpan w:val="6"/>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340" w:lineRule="exact"/>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合计（元）</w:t>
            </w:r>
          </w:p>
        </w:tc>
        <w:tc>
          <w:tcPr>
            <w:tcW w:w="1676"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340" w:lineRule="exact"/>
              <w:jc w:val="center"/>
              <w:rPr>
                <w:rFonts w:hint="eastAsia" w:ascii="仿宋_GB2312" w:hAnsi="仿宋_GB2312" w:eastAsia="仿宋_GB2312" w:cs="仿宋_GB2312"/>
                <w:color w:val="000000"/>
                <w:kern w:val="0"/>
                <w:sz w:val="21"/>
                <w:szCs w:val="21"/>
                <w:lang w:val="en-US" w:eastAsia="zh-CN"/>
              </w:rPr>
            </w:pPr>
          </w:p>
        </w:tc>
      </w:tr>
    </w:tbl>
    <w:p>
      <w:pPr>
        <w:widowControl/>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备注：</w:t>
      </w:r>
    </w:p>
    <w:p>
      <w:pPr>
        <w:widowControl/>
        <w:numPr>
          <w:ilvl w:val="0"/>
          <w:numId w:val="8"/>
        </w:num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报价人应于收到甲方需求发出后7天内交货，交货日期以承运人签发的单据日期为准。</w:t>
      </w:r>
    </w:p>
    <w:p>
      <w:pPr>
        <w:widowControl/>
        <w:numPr>
          <w:ilvl w:val="0"/>
          <w:numId w:val="8"/>
        </w:num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以上含税价格包括但不限于电脑设备（包括配件）、设备安装及调试、运费、利润、税费、技术服务及安装辅助材料等所有费用，开具13%增值税专用发票 ，若本合同履约期间国家有增值税政策变更，则以本合同不含税价为基数按照国家最新增值税税率计算税金。</w:t>
      </w:r>
    </w:p>
    <w:p>
      <w:pPr>
        <w:widowControl/>
        <w:numPr>
          <w:ilvl w:val="0"/>
          <w:numId w:val="8"/>
        </w:num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保修：主机和显示器同一品牌，整机（含显示器）原厂三年免费上门维修服务；笔记本为一年保修</w:t>
      </w:r>
    </w:p>
    <w:p>
      <w:pPr>
        <w:widowControl/>
        <w:numPr>
          <w:ilvl w:val="0"/>
          <w:numId w:val="8"/>
        </w:num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付款方式：收到货物并通过验收，且报价人开具符合要求的增值税专用发票后10个工作日一次性付清全部货款。</w:t>
      </w:r>
    </w:p>
    <w:p>
      <w:pPr>
        <w:spacing w:line="500" w:lineRule="exact"/>
        <w:jc w:val="center"/>
        <w:rPr>
          <w:rFonts w:hint="eastAsia" w:ascii="仿宋_GB2312" w:hAnsi="仿宋_GB2312" w:eastAsia="仿宋_GB2312" w:cs="仿宋_GB2312"/>
          <w:b/>
          <w:bCs/>
          <w:sz w:val="44"/>
          <w:szCs w:val="40"/>
        </w:rPr>
      </w:pPr>
    </w:p>
    <w:p>
      <w:pPr>
        <w:spacing w:line="500" w:lineRule="exact"/>
        <w:jc w:val="center"/>
        <w:rPr>
          <w:rFonts w:hint="eastAsia" w:ascii="仿宋_GB2312" w:hAnsi="仿宋_GB2312" w:eastAsia="仿宋_GB2312" w:cs="仿宋_GB2312"/>
          <w:b/>
          <w:bCs/>
          <w:sz w:val="44"/>
          <w:szCs w:val="40"/>
        </w:rPr>
      </w:pPr>
    </w:p>
    <w:p>
      <w:pPr>
        <w:spacing w:line="500" w:lineRule="exact"/>
        <w:jc w:val="center"/>
        <w:rPr>
          <w:rFonts w:hint="eastAsia" w:ascii="仿宋_GB2312" w:hAnsi="仿宋_GB2312" w:eastAsia="仿宋_GB2312" w:cs="仿宋_GB2312"/>
          <w:b/>
          <w:bCs/>
          <w:sz w:val="44"/>
          <w:szCs w:val="40"/>
        </w:rPr>
      </w:pPr>
    </w:p>
    <w:p>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b/>
          <w:bCs/>
          <w:sz w:val="44"/>
          <w:szCs w:val="40"/>
        </w:rPr>
        <w:t xml:space="preserve">            </w:t>
      </w:r>
      <w:r>
        <w:rPr>
          <w:rFonts w:hint="eastAsia" w:ascii="仿宋_GB2312" w:hAnsi="仿宋_GB2312" w:eastAsia="仿宋_GB2312" w:cs="仿宋_GB2312"/>
          <w:sz w:val="28"/>
          <w:szCs w:val="28"/>
        </w:rPr>
        <w:t xml:space="preserve">          报价</w:t>
      </w:r>
      <w:r>
        <w:rPr>
          <w:rFonts w:hint="eastAsia" w:ascii="仿宋_GB2312" w:hAnsi="仿宋_GB2312" w:eastAsia="仿宋_GB2312" w:cs="仿宋_GB2312"/>
          <w:sz w:val="28"/>
          <w:szCs w:val="28"/>
          <w:lang w:val="en-US" w:eastAsia="zh-CN"/>
        </w:rPr>
        <w:t>单位</w:t>
      </w:r>
      <w:r>
        <w:rPr>
          <w:rFonts w:hint="eastAsia" w:ascii="仿宋_GB2312" w:hAnsi="仿宋_GB2312" w:eastAsia="仿宋_GB2312" w:cs="仿宋_GB2312"/>
          <w:sz w:val="28"/>
          <w:szCs w:val="28"/>
        </w:rPr>
        <w:t>（盖章）：</w:t>
      </w:r>
    </w:p>
    <w:p>
      <w:pPr>
        <w:widowControl/>
        <w:jc w:val="left"/>
        <w:rPr>
          <w:rFonts w:hint="eastAsia" w:ascii="仿宋_GB2312" w:hAnsi="仿宋_GB2312" w:eastAsia="仿宋_GB2312" w:cs="仿宋_GB2312"/>
          <w:b w:val="0"/>
          <w:bCs w:val="0"/>
          <w:i w:val="0"/>
          <w:iCs w:val="0"/>
          <w:sz w:val="28"/>
          <w:szCs w:val="28"/>
        </w:rPr>
      </w:pPr>
    </w:p>
    <w:p>
      <w:pPr>
        <w:widowControl/>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法定代表人：</w:t>
      </w:r>
    </w:p>
    <w:p>
      <w:pPr>
        <w:widowControl/>
        <w:ind w:firstLine="3920" w:firstLineChars="1400"/>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（签字或盖章）</w:t>
      </w:r>
    </w:p>
    <w:p>
      <w:pPr>
        <w:widowControl/>
        <w:jc w:val="left"/>
        <w:rPr>
          <w:rFonts w:hint="eastAsia" w:ascii="仿宋_GB2312" w:hAnsi="仿宋_GB2312" w:eastAsia="仿宋_GB2312" w:cs="仿宋_GB2312"/>
          <w:sz w:val="28"/>
          <w:szCs w:val="28"/>
        </w:rPr>
      </w:pPr>
    </w:p>
    <w:p>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  期：    年    月    日</w:t>
      </w:r>
    </w:p>
    <w:p>
      <w:pPr>
        <w:spacing w:line="500" w:lineRule="exact"/>
        <w:jc w:val="center"/>
        <w:rPr>
          <w:b/>
          <w:bCs/>
          <w:sz w:val="28"/>
          <w:szCs w:val="28"/>
        </w:rPr>
      </w:pPr>
    </w:p>
    <w:p>
      <w:pPr>
        <w:pStyle w:val="9"/>
        <w:keepNext w:val="0"/>
        <w:keepLines w:val="0"/>
        <w:pageBreakBefore w:val="0"/>
        <w:widowControl w:val="0"/>
        <w:kinsoku/>
        <w:wordWrap/>
        <w:overflowPunct/>
        <w:topLinePunct w:val="0"/>
        <w:autoSpaceDE/>
        <w:autoSpaceDN/>
        <w:bidi w:val="0"/>
        <w:adjustRightInd/>
        <w:snapToGrid/>
        <w:spacing w:line="520" w:lineRule="exact"/>
        <w:ind w:left="840" w:firstLine="0" w:firstLineChars="0"/>
        <w:jc w:val="right"/>
        <w:textAlignment w:val="auto"/>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C60C4"/>
    <w:multiLevelType w:val="singleLevel"/>
    <w:tmpl w:val="037C60C4"/>
    <w:lvl w:ilvl="0" w:tentative="0">
      <w:start w:val="1"/>
      <w:numFmt w:val="decimal"/>
      <w:suff w:val="nothing"/>
      <w:lvlText w:val="%1、"/>
      <w:lvlJc w:val="left"/>
    </w:lvl>
  </w:abstractNum>
  <w:abstractNum w:abstractNumId="1">
    <w:nsid w:val="1A0E326B"/>
    <w:multiLevelType w:val="multilevel"/>
    <w:tmpl w:val="1A0E326B"/>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4ACB0908"/>
    <w:multiLevelType w:val="multilevel"/>
    <w:tmpl w:val="4ACB0908"/>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4EACAD5A"/>
    <w:multiLevelType w:val="singleLevel"/>
    <w:tmpl w:val="4EACAD5A"/>
    <w:lvl w:ilvl="0" w:tentative="0">
      <w:start w:val="1"/>
      <w:numFmt w:val="decimal"/>
      <w:suff w:val="nothing"/>
      <w:lvlText w:val="%1、"/>
      <w:lvlJc w:val="left"/>
    </w:lvl>
  </w:abstractNum>
  <w:abstractNum w:abstractNumId="4">
    <w:nsid w:val="51057F8A"/>
    <w:multiLevelType w:val="multilevel"/>
    <w:tmpl w:val="51057F8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54DB2752"/>
    <w:multiLevelType w:val="multilevel"/>
    <w:tmpl w:val="54DB275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69B3740"/>
    <w:multiLevelType w:val="multilevel"/>
    <w:tmpl w:val="569B3740"/>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72DA6121"/>
    <w:multiLevelType w:val="multilevel"/>
    <w:tmpl w:val="72DA612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5"/>
  </w:num>
  <w:num w:numId="2">
    <w:abstractNumId w:val="1"/>
  </w:num>
  <w:num w:numId="3">
    <w:abstractNumId w:val="7"/>
  </w:num>
  <w:num w:numId="4">
    <w:abstractNumId w:val="0"/>
  </w:num>
  <w:num w:numId="5">
    <w:abstractNumId w:val="6"/>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2MzViYWUzYzk0MWRkZTE1MmY3ZTVhZDAyZDI0YTUifQ=="/>
  </w:docVars>
  <w:rsids>
    <w:rsidRoot w:val="00EC110D"/>
    <w:rsid w:val="0004492E"/>
    <w:rsid w:val="000512DD"/>
    <w:rsid w:val="000B1C32"/>
    <w:rsid w:val="000C6F9B"/>
    <w:rsid w:val="000E2215"/>
    <w:rsid w:val="00100A77"/>
    <w:rsid w:val="001047D9"/>
    <w:rsid w:val="0016669B"/>
    <w:rsid w:val="0018210F"/>
    <w:rsid w:val="00193F70"/>
    <w:rsid w:val="001C02DD"/>
    <w:rsid w:val="002802D2"/>
    <w:rsid w:val="002B7203"/>
    <w:rsid w:val="002C1FFB"/>
    <w:rsid w:val="00330788"/>
    <w:rsid w:val="00334170"/>
    <w:rsid w:val="003C4D2C"/>
    <w:rsid w:val="004C065A"/>
    <w:rsid w:val="004F42C5"/>
    <w:rsid w:val="00524EF1"/>
    <w:rsid w:val="00553F97"/>
    <w:rsid w:val="005A0D2C"/>
    <w:rsid w:val="005B47F0"/>
    <w:rsid w:val="005E12FC"/>
    <w:rsid w:val="006C2B1A"/>
    <w:rsid w:val="006E2EFF"/>
    <w:rsid w:val="00740C2B"/>
    <w:rsid w:val="00766F80"/>
    <w:rsid w:val="007939DF"/>
    <w:rsid w:val="007A0A31"/>
    <w:rsid w:val="007A2B82"/>
    <w:rsid w:val="007C3207"/>
    <w:rsid w:val="007D12FF"/>
    <w:rsid w:val="007E380A"/>
    <w:rsid w:val="00836946"/>
    <w:rsid w:val="00874696"/>
    <w:rsid w:val="008C0EF9"/>
    <w:rsid w:val="008D1015"/>
    <w:rsid w:val="008E72E8"/>
    <w:rsid w:val="00905687"/>
    <w:rsid w:val="00956945"/>
    <w:rsid w:val="009601BA"/>
    <w:rsid w:val="0099102C"/>
    <w:rsid w:val="00A04F04"/>
    <w:rsid w:val="00A24051"/>
    <w:rsid w:val="00A41988"/>
    <w:rsid w:val="00A642A6"/>
    <w:rsid w:val="00A8530B"/>
    <w:rsid w:val="00AA7F83"/>
    <w:rsid w:val="00B41EC2"/>
    <w:rsid w:val="00B62374"/>
    <w:rsid w:val="00B647A7"/>
    <w:rsid w:val="00BA3A32"/>
    <w:rsid w:val="00BF54B7"/>
    <w:rsid w:val="00C37FF4"/>
    <w:rsid w:val="00C6198B"/>
    <w:rsid w:val="00C61F0A"/>
    <w:rsid w:val="00C667F3"/>
    <w:rsid w:val="00CB7A99"/>
    <w:rsid w:val="00CC0E39"/>
    <w:rsid w:val="00CE4974"/>
    <w:rsid w:val="00CE5CD7"/>
    <w:rsid w:val="00CE5D22"/>
    <w:rsid w:val="00D114DE"/>
    <w:rsid w:val="00D17EDF"/>
    <w:rsid w:val="00D60996"/>
    <w:rsid w:val="00D66B71"/>
    <w:rsid w:val="00D867BD"/>
    <w:rsid w:val="00DB0B6F"/>
    <w:rsid w:val="00DE008A"/>
    <w:rsid w:val="00E35CF0"/>
    <w:rsid w:val="00E8711E"/>
    <w:rsid w:val="00E90E6C"/>
    <w:rsid w:val="00EB1EC0"/>
    <w:rsid w:val="00EC110D"/>
    <w:rsid w:val="00EC2410"/>
    <w:rsid w:val="00ED2CB6"/>
    <w:rsid w:val="00F33D27"/>
    <w:rsid w:val="00F521DB"/>
    <w:rsid w:val="00F820F8"/>
    <w:rsid w:val="00FB43C3"/>
    <w:rsid w:val="013C35F9"/>
    <w:rsid w:val="018D3F61"/>
    <w:rsid w:val="01E16704"/>
    <w:rsid w:val="04425FE9"/>
    <w:rsid w:val="08FD6983"/>
    <w:rsid w:val="117277AE"/>
    <w:rsid w:val="13900507"/>
    <w:rsid w:val="17AB278E"/>
    <w:rsid w:val="1D1D719C"/>
    <w:rsid w:val="1F4B4494"/>
    <w:rsid w:val="1F581F2C"/>
    <w:rsid w:val="217D46AD"/>
    <w:rsid w:val="26674E75"/>
    <w:rsid w:val="26CA0394"/>
    <w:rsid w:val="26E03714"/>
    <w:rsid w:val="2BF87197"/>
    <w:rsid w:val="323C7A62"/>
    <w:rsid w:val="32E77BD8"/>
    <w:rsid w:val="34767465"/>
    <w:rsid w:val="3D4F60D9"/>
    <w:rsid w:val="3DF15DAF"/>
    <w:rsid w:val="3F141D55"/>
    <w:rsid w:val="3F63466C"/>
    <w:rsid w:val="41B25855"/>
    <w:rsid w:val="42017053"/>
    <w:rsid w:val="43747266"/>
    <w:rsid w:val="466B127B"/>
    <w:rsid w:val="47D83000"/>
    <w:rsid w:val="493C6A78"/>
    <w:rsid w:val="4AE922E8"/>
    <w:rsid w:val="4B2A2992"/>
    <w:rsid w:val="4FE63299"/>
    <w:rsid w:val="5147773A"/>
    <w:rsid w:val="51DA6E2E"/>
    <w:rsid w:val="522543B0"/>
    <w:rsid w:val="5C570CB5"/>
    <w:rsid w:val="617F52FC"/>
    <w:rsid w:val="61860438"/>
    <w:rsid w:val="64FE5358"/>
    <w:rsid w:val="65257F68"/>
    <w:rsid w:val="67A55390"/>
    <w:rsid w:val="67E81E4D"/>
    <w:rsid w:val="691A5167"/>
    <w:rsid w:val="6A4B221F"/>
    <w:rsid w:val="6C830396"/>
    <w:rsid w:val="708F6BDE"/>
    <w:rsid w:val="770E2215"/>
    <w:rsid w:val="7AF56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2569</Words>
  <Characters>3110</Characters>
  <Lines>11</Lines>
  <Paragraphs>3</Paragraphs>
  <TotalTime>0</TotalTime>
  <ScaleCrop>false</ScaleCrop>
  <LinksUpToDate>false</LinksUpToDate>
  <CharactersWithSpaces>3384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2022-03-29T07:15:00Z</dcterms:created>
  <dc:creator>shery v5</dc:creator>
  <cp:lastModifiedBy>王强</cp:lastModifiedBy>
  <cp:lastPrinted>2022-03-24T07:21:00Z</cp:lastPrinted>
  <dcterms:modified xsi:type="dcterms:W3CDTF">2023-06-21T08:22:53Z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CD4154E94C0A4B2BB9EF56C20314653E</vt:lpwstr>
  </property>
</Properties>
</file>